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D4F64">
      <w:pPr>
        <w:pStyle w:val="25"/>
        <w:tabs>
          <w:tab w:val="left" w:pos="720"/>
          <w:tab w:val="left" w:pos="1440"/>
          <w:tab w:val="left" w:pos="2160"/>
          <w:tab w:val="left" w:pos="2880"/>
          <w:tab w:val="center" w:pos="5047"/>
        </w:tabs>
        <w:jc w:val="left"/>
        <w:rPr>
          <w:rFonts w:eastAsia="Times New Roman"/>
          <w:sz w:val="22"/>
        </w:rPr>
      </w:pPr>
      <w:bookmarkStart w:id="0" w:name="_GoBack"/>
      <w:bookmarkEnd w:id="0"/>
      <w:r>
        <w:drawing>
          <wp:anchor distT="0" distB="0" distL="114300" distR="114300" simplePos="0" relativeHeight="251659264" behindDoc="0" locked="0" layoutInCell="1" allowOverlap="1">
            <wp:simplePos x="0" y="0"/>
            <wp:positionH relativeFrom="column">
              <wp:posOffset>5035550</wp:posOffset>
            </wp:positionH>
            <wp:positionV relativeFrom="paragraph">
              <wp:posOffset>-6350</wp:posOffset>
            </wp:positionV>
            <wp:extent cx="1359535" cy="269875"/>
            <wp:effectExtent l="0" t="0" r="0" b="0"/>
            <wp:wrapNone/>
            <wp:docPr id="9" name="Picture 9" descr="E:\Header images\Cropped final on 04 Jan 2021\Check for updates 0.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Header images\Cropped final on 04 Jan 2021\Check for updates 0.7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59535" cy="269875"/>
                    </a:xfrm>
                    <a:prstGeom prst="rect">
                      <a:avLst/>
                    </a:prstGeom>
                    <a:noFill/>
                    <a:ln>
                      <a:noFill/>
                    </a:ln>
                  </pic:spPr>
                </pic:pic>
              </a:graphicData>
            </a:graphic>
          </wp:anchor>
        </w:drawing>
      </w:r>
      <w:r>
        <w:rPr>
          <w:rFonts w:eastAsia="Times New Roman"/>
          <w:sz w:val="22"/>
        </w:rPr>
        <w:t>(</w:t>
      </w:r>
      <w:r>
        <w:rPr>
          <w:sz w:val="22"/>
        </w:rPr>
        <w:t>RESEARCH ARTICLE)</w:t>
      </w:r>
      <w:r>
        <w:rPr>
          <w:lang w:eastAsia="en-IN"/>
        </w:rPr>
        <w:t xml:space="preserve"> </w:t>
      </w:r>
      <w:r>
        <w:rPr>
          <w:rFonts w:eastAsia="Times New Roman"/>
          <w:sz w:val="22"/>
        </w:rPr>
        <w:tab/>
      </w:r>
      <w:r>
        <w:rPr>
          <w:rFonts w:eastAsia="Times New Roman"/>
          <w:sz w:val="22"/>
        </w:rPr>
        <w:tab/>
      </w:r>
    </w:p>
    <w:p w14:paraId="145B892C">
      <w:pPr>
        <w:pStyle w:val="26"/>
        <w:jc w:val="both"/>
      </w:pPr>
      <w:r>
        <w:rPr>
          <w:rFonts w:hint="default"/>
        </w:rPr>
        <w:t xml:space="preserve">Evaluation of the Antiulcer Activities of Ethanolic Leaf Extract of </w:t>
      </w:r>
      <w:r>
        <w:rPr>
          <w:rFonts w:hint="default"/>
          <w:i/>
          <w:iCs/>
        </w:rPr>
        <w:t>Cleistopholis staudtii</w:t>
      </w:r>
    </w:p>
    <w:p w14:paraId="77282B6A">
      <w:pPr>
        <w:pStyle w:val="27"/>
        <w:jc w:val="both"/>
        <w:rPr>
          <w:rFonts w:hint="default"/>
        </w:rPr>
      </w:pPr>
      <w:r>
        <w:rPr>
          <w:rFonts w:hint="default"/>
        </w:rPr>
        <w:t>*Chukwuebuka Chukwuezugolum Onwuzuligbo</w:t>
      </w:r>
      <w:r>
        <w:rPr>
          <w:rFonts w:hint="default"/>
          <w:vertAlign w:val="superscript"/>
        </w:rPr>
        <w:t>1</w:t>
      </w:r>
      <w:r>
        <w:rPr>
          <w:rFonts w:hint="default"/>
        </w:rPr>
        <w:t>, Chukwunonso Chukwudike Onwuzuligbo</w:t>
      </w:r>
      <w:r>
        <w:rPr>
          <w:rFonts w:hint="default"/>
          <w:vertAlign w:val="superscript"/>
        </w:rPr>
        <w:t>2</w:t>
      </w:r>
      <w:r>
        <w:rPr>
          <w:rFonts w:hint="default"/>
        </w:rPr>
        <w:t>, Akuchukwu</w:t>
      </w:r>
    </w:p>
    <w:p w14:paraId="3FCD8C01">
      <w:pPr>
        <w:pStyle w:val="27"/>
        <w:jc w:val="both"/>
        <w:rPr>
          <w:rFonts w:hint="default"/>
        </w:rPr>
      </w:pPr>
      <w:r>
        <w:rPr>
          <w:rFonts w:hint="default"/>
        </w:rPr>
        <w:t>Jedidiah Onwuzuligbo</w:t>
      </w:r>
      <w:r>
        <w:rPr>
          <w:rFonts w:hint="default"/>
          <w:vertAlign w:val="superscript"/>
        </w:rPr>
        <w:t>3</w:t>
      </w:r>
      <w:r>
        <w:rPr>
          <w:rFonts w:hint="default"/>
        </w:rPr>
        <w:t>, Nzube Godswill Onyenweze</w:t>
      </w:r>
      <w:r>
        <w:rPr>
          <w:rFonts w:hint="default"/>
          <w:vertAlign w:val="superscript"/>
        </w:rPr>
        <w:t>1</w:t>
      </w:r>
      <w:r>
        <w:rPr>
          <w:rFonts w:hint="default"/>
        </w:rPr>
        <w:t>, Stephanie Amaka Nwokike</w:t>
      </w:r>
      <w:r>
        <w:rPr>
          <w:rFonts w:hint="default"/>
          <w:vertAlign w:val="superscript"/>
        </w:rPr>
        <w:t>1</w:t>
      </w:r>
      <w:r>
        <w:rPr>
          <w:rFonts w:hint="default"/>
        </w:rPr>
        <w:t xml:space="preserve"> and Cynthia Adaeze</w:t>
      </w:r>
    </w:p>
    <w:p w14:paraId="16AA084C">
      <w:pPr>
        <w:pStyle w:val="27"/>
        <w:jc w:val="both"/>
        <w:rPr>
          <w:rFonts w:hint="default"/>
          <w:vertAlign w:val="baseline"/>
          <w:lang w:val="en-US"/>
        </w:rPr>
      </w:pPr>
      <w:r>
        <w:rPr>
          <w:rFonts w:hint="default"/>
        </w:rPr>
        <w:t>Onwughalu</w:t>
      </w:r>
      <w:r>
        <w:rPr>
          <w:rFonts w:hint="default"/>
          <w:vertAlign w:val="superscript"/>
        </w:rPr>
        <w:t>1</w:t>
      </w:r>
      <w:r>
        <w:rPr>
          <w:rFonts w:hint="default"/>
          <w:vertAlign w:val="baseline"/>
          <w:lang w:val="en-US"/>
        </w:rPr>
        <w:t>.</w:t>
      </w:r>
    </w:p>
    <w:p w14:paraId="140CFEA3">
      <w:pPr>
        <w:pStyle w:val="28"/>
        <w:jc w:val="both"/>
      </w:pPr>
      <w:r>
        <w:rPr>
          <w:vertAlign w:val="superscript"/>
        </w:rPr>
        <w:t>1</w:t>
      </w:r>
      <w:r>
        <w:t xml:space="preserve"> </w:t>
      </w:r>
      <w:r>
        <w:rPr>
          <w:rFonts w:hint="default"/>
        </w:rPr>
        <w:t>Department of Pharmacognosy and Traditional Medicine, Faculty of Pharmaceutical Sciences, Nnamdi</w:t>
      </w:r>
      <w:r>
        <w:rPr>
          <w:rFonts w:hint="default"/>
          <w:lang w:val="en-US"/>
        </w:rPr>
        <w:t xml:space="preserve"> </w:t>
      </w:r>
      <w:r>
        <w:rPr>
          <w:rFonts w:hint="default"/>
        </w:rPr>
        <w:t>Azikiwe University, Awka, Anambra State</w:t>
      </w:r>
    </w:p>
    <w:p w14:paraId="51918170">
      <w:pPr>
        <w:pStyle w:val="28"/>
        <w:jc w:val="both"/>
        <w:rPr>
          <w:rFonts w:hint="default"/>
          <w:lang w:val="en-US"/>
        </w:rPr>
      </w:pPr>
      <w:r>
        <w:rPr>
          <w:vertAlign w:val="superscript"/>
        </w:rPr>
        <w:t>2</w:t>
      </w:r>
      <w:r>
        <w:t xml:space="preserve"> </w:t>
      </w:r>
      <w:r>
        <w:rPr>
          <w:rFonts w:hint="default"/>
          <w:lang w:val="en-US"/>
        </w:rPr>
        <w:t>Department of Pharmaceutics and Pharmaceutical Technology, Faculty of Pharmaceutical Sciences, Chukwuemeka Odumegwu Ojukwu University, Igbariam, Anambra State</w:t>
      </w:r>
    </w:p>
    <w:p w14:paraId="4086344B">
      <w:pPr>
        <w:pStyle w:val="28"/>
        <w:jc w:val="both"/>
        <w:rPr>
          <w:rFonts w:hint="default"/>
          <w:lang w:val="en-US"/>
        </w:rPr>
      </w:pPr>
      <w:r>
        <w:rPr>
          <w:rFonts w:hint="default"/>
          <w:vertAlign w:val="superscript"/>
          <w:lang w:val="en-US"/>
        </w:rPr>
        <w:t>3</w:t>
      </w:r>
      <w:r>
        <w:rPr>
          <w:rFonts w:hint="default"/>
          <w:lang w:val="en-US"/>
        </w:rPr>
        <w:t xml:space="preserve"> Department of Pharmaceutics and Pharmaceutical Technology, Faculty of Pharmaceutical Sciences,</w:t>
      </w:r>
    </w:p>
    <w:p w14:paraId="3937D4B0">
      <w:pPr>
        <w:pStyle w:val="28"/>
        <w:jc w:val="both"/>
        <w:rPr>
          <w:rFonts w:hint="default"/>
          <w:lang w:val="en-US"/>
        </w:rPr>
      </w:pPr>
      <w:r>
        <w:rPr>
          <w:rFonts w:hint="default"/>
          <w:lang w:val="en-US"/>
        </w:rPr>
        <w:t>Nnamdi Azikiwe University, Awka, Anambra State</w:t>
      </w:r>
    </w:p>
    <w:p w14:paraId="561F97CD">
      <w:pPr>
        <w:pStyle w:val="35"/>
        <w:rPr>
          <w:rFonts w:hint="default"/>
          <w:lang w:val="en-US"/>
        </w:rPr>
      </w:pPr>
      <w:r>
        <w:t xml:space="preserve">Journal of Scientific Innovations and Creative Research, 2025, </w:t>
      </w:r>
      <w:r>
        <w:rPr>
          <w:rFonts w:hint="default"/>
          <w:lang w:val="en-US"/>
        </w:rPr>
        <w:t>1</w:t>
      </w:r>
      <w:r>
        <w:t>(</w:t>
      </w:r>
      <w:r>
        <w:rPr>
          <w:rFonts w:hint="default"/>
          <w:lang w:val="en-US"/>
        </w:rPr>
        <w:t>1</w:t>
      </w:r>
      <w:r>
        <w:t xml:space="preserve">), </w:t>
      </w:r>
      <w:r>
        <w:rPr>
          <w:rFonts w:hint="default"/>
          <w:lang w:val="en-US"/>
        </w:rPr>
        <w:t>047</w:t>
      </w:r>
      <w:r>
        <w:t>–</w:t>
      </w:r>
      <w:r>
        <w:rPr>
          <w:rFonts w:hint="default"/>
          <w:lang w:val="en-US"/>
        </w:rPr>
        <w:t>057</w:t>
      </w:r>
    </w:p>
    <w:p w14:paraId="7951F67A">
      <w:pPr>
        <w:keepNext w:val="0"/>
        <w:keepLines w:val="0"/>
        <w:widowControl/>
        <w:suppressLineNumbers w:val="0"/>
        <w:jc w:val="left"/>
      </w:pPr>
      <w:r>
        <w:t>Publication history: Received on</w:t>
      </w:r>
      <w:r>
        <w:rPr>
          <w:rFonts w:hint="default" w:ascii="Times New Roman" w:hAnsi="Times New Roman" w:cs="Times New Roman"/>
          <w:sz w:val="20"/>
          <w:szCs w:val="20"/>
          <w:lang w:val="en-US"/>
        </w:rPr>
        <w:t xml:space="preserve"> 13</w:t>
      </w:r>
      <w:r>
        <w:rPr>
          <w:rFonts w:hint="default" w:ascii="Times New Roman" w:hAnsi="Times New Roman" w:eastAsia="Cambria" w:cs="Times New Roman"/>
          <w:color w:val="000000"/>
          <w:kern w:val="0"/>
          <w:sz w:val="20"/>
          <w:szCs w:val="20"/>
          <w:vertAlign w:val="superscript"/>
          <w:lang w:val="en-US" w:eastAsia="zh-CN" w:bidi="ar"/>
        </w:rPr>
        <w:t>th</w:t>
      </w:r>
      <w:r>
        <w:rPr>
          <w:rFonts w:hint="default" w:ascii="Times New Roman" w:hAnsi="Times New Roman" w:eastAsia="Cambria" w:cs="Times New Roman"/>
          <w:color w:val="000000"/>
          <w:kern w:val="0"/>
          <w:sz w:val="20"/>
          <w:szCs w:val="20"/>
          <w:lang w:val="en-US" w:eastAsia="zh-CN" w:bidi="ar"/>
        </w:rPr>
        <w:t xml:space="preserve"> June, 2025; revised on 20</w:t>
      </w:r>
      <w:r>
        <w:rPr>
          <w:rFonts w:hint="default" w:ascii="Times New Roman" w:hAnsi="Times New Roman" w:eastAsia="Cambria" w:cs="Times New Roman"/>
          <w:color w:val="000000"/>
          <w:kern w:val="0"/>
          <w:sz w:val="20"/>
          <w:szCs w:val="20"/>
          <w:vertAlign w:val="superscript"/>
          <w:lang w:val="en-US" w:eastAsia="zh-CN" w:bidi="ar"/>
        </w:rPr>
        <w:t>th</w:t>
      </w:r>
      <w:r>
        <w:rPr>
          <w:rFonts w:hint="default" w:ascii="Times New Roman" w:hAnsi="Times New Roman" w:eastAsia="Cambria" w:cs="Times New Roman"/>
          <w:color w:val="000000"/>
          <w:kern w:val="0"/>
          <w:sz w:val="20"/>
          <w:szCs w:val="20"/>
          <w:lang w:val="en-US" w:eastAsia="zh-CN" w:bidi="ar"/>
        </w:rPr>
        <w:t xml:space="preserve"> July, 2025; accepted on 17</w:t>
      </w:r>
      <w:r>
        <w:rPr>
          <w:rFonts w:hint="default" w:ascii="Times New Roman" w:hAnsi="Times New Roman" w:eastAsia="Cambria" w:cs="Times New Roman"/>
          <w:color w:val="000000"/>
          <w:kern w:val="0"/>
          <w:sz w:val="20"/>
          <w:szCs w:val="20"/>
          <w:vertAlign w:val="superscript"/>
          <w:lang w:val="en-US" w:eastAsia="zh-CN" w:bidi="ar"/>
        </w:rPr>
        <w:t>th</w:t>
      </w:r>
      <w:r>
        <w:rPr>
          <w:rFonts w:hint="default" w:ascii="Times New Roman" w:hAnsi="Times New Roman" w:eastAsia="Cambria" w:cs="Times New Roman"/>
          <w:color w:val="000000"/>
          <w:kern w:val="0"/>
          <w:sz w:val="20"/>
          <w:szCs w:val="20"/>
          <w:lang w:val="en-US" w:eastAsia="zh-CN" w:bidi="ar"/>
        </w:rPr>
        <w:t xml:space="preserve"> August, 2025</w:t>
      </w:r>
    </w:p>
    <w:p w14:paraId="150F85D1">
      <w:pPr>
        <w:pStyle w:val="29"/>
      </w:pPr>
    </w:p>
    <w:p w14:paraId="0F8D5D73">
      <w:pPr>
        <w:pStyle w:val="30"/>
        <w:rPr>
          <w:lang w:eastAsia="zh-CN"/>
        </w:rPr>
      </w:pPr>
      <w:r>
        <w:t>Article DOI: xxxxxxxxxxxxxxxxxxxxxxxxxxxxxxxxxxx</w:t>
      </w:r>
    </w:p>
    <w:p w14:paraId="3D46B2EF">
      <w:pPr>
        <w:pStyle w:val="31"/>
      </w:pPr>
      <w:r>
        <w:t>Abstract</w:t>
      </w:r>
    </w:p>
    <w:p w14:paraId="5C4B5077">
      <w:pPr>
        <w:pStyle w:val="32"/>
      </w:pPr>
      <w:r>
        <w:rPr>
          <w:color w:val="000000" w:themeColor="text1"/>
          <w14:textFill>
            <w14:solidFill>
              <w14:schemeClr w14:val="tx1"/>
            </w14:solidFill>
          </w14:textFill>
        </w:rPr>
        <w:t xml:space="preserve">Gastric ulcer disease remains a major global health burden, and limitations of current therapies necessitate the search for safer alternatives. </w:t>
      </w:r>
      <w:r>
        <w:rPr>
          <w:rStyle w:val="10"/>
          <w:rFonts w:eastAsiaTheme="majorEastAsia"/>
          <w:color w:val="000000" w:themeColor="text1"/>
          <w14:textFill>
            <w14:solidFill>
              <w14:schemeClr w14:val="tx1"/>
            </w14:solidFill>
          </w14:textFill>
        </w:rPr>
        <w:t>Cleistopholis staudtii</w:t>
      </w:r>
      <w:r>
        <w:rPr>
          <w:color w:val="000000" w:themeColor="text1"/>
          <w14:textFill>
            <w14:solidFill>
              <w14:schemeClr w14:val="tx1"/>
            </w14:solidFill>
          </w14:textFill>
        </w:rPr>
        <w:t xml:space="preserve"> (Annonaceae) is traditionally used in West Africa for treating gastrointestinal disorders, but its anti-ulcer activity has not been fully elucidated.This study evaluated the anti-ulcer potential of the ethanol extract of </w:t>
      </w:r>
      <w:r>
        <w:rPr>
          <w:rStyle w:val="10"/>
          <w:rFonts w:eastAsiaTheme="majorEastAsia"/>
          <w:color w:val="000000" w:themeColor="text1"/>
          <w14:textFill>
            <w14:solidFill>
              <w14:schemeClr w14:val="tx1"/>
            </w14:solidFill>
          </w14:textFill>
        </w:rPr>
        <w:t>C. staudtii</w:t>
      </w:r>
      <w:r>
        <w:rPr>
          <w:color w:val="000000" w:themeColor="text1"/>
          <w14:textFill>
            <w14:solidFill>
              <w14:schemeClr w14:val="tx1"/>
            </w14:solidFill>
          </w14:textFill>
        </w:rPr>
        <w:t xml:space="preserve"> leaves and its solvent fractions in pylorus-ligated rats. Leaves of </w:t>
      </w:r>
      <w:r>
        <w:rPr>
          <w:rStyle w:val="10"/>
          <w:rFonts w:eastAsiaTheme="majorEastAsia"/>
          <w:color w:val="000000" w:themeColor="text1"/>
          <w14:textFill>
            <w14:solidFill>
              <w14:schemeClr w14:val="tx1"/>
            </w14:solidFill>
          </w14:textFill>
        </w:rPr>
        <w:t>C. staudtii</w:t>
      </w:r>
      <w:r>
        <w:rPr>
          <w:color w:val="000000" w:themeColor="text1"/>
          <w14:textFill>
            <w14:solidFill>
              <w14:schemeClr w14:val="tx1"/>
            </w14:solidFill>
          </w14:textFill>
        </w:rPr>
        <w:t xml:space="preserve"> were extracted with ethanol and fractionated into n-hexane, ethyl acetate, and butanol fractions. Acute toxicity was assessed according to OECD guidelines. Anti-ulcer activity was investigated using the pylorus ligation method in rats pretreated with distilled water, omeprazole (20 mg/kg), crude extract (250 and 500 mg/kg), or solvent fractions (250 and 500 mg/kg). Gastric juice volume, pH, free acidity, total acidity, ulcer index, and percentage ulcer inhibition were determined. The ethanol extract was safe with an oral LD₅₀ &gt; 5000 mg/kg. Distilled water-treated controls exhibited severe ulceration (ulcer index: 13.7 ± 0.26). Omeprazole significantly reduced ulcer formation (ulcer index: 8.42 ± 0.16; 88.23% inhibition). The crude extract (500 mg/kg) produced comparable inhibition (88.23%), associated with increased gastric pH (4.0 ± 0.58) and reduced acidity. The butanol fraction at 250 mg/kg exhibited the most potent effect among the fractions (ulcer index: 9.54 ± 0.26; 79.38% inhibition), surpassing omeprazole in lowering free acidity (35.7 ± 2.33 vs. 43.6 ± 5.22). Ethyl acetate showed moderate activity (20.35–37.17% inhibition), while n-hexane produced minimal effects (&lt;15%).The ethanol extract and butanol fraction of </w:t>
      </w:r>
      <w:r>
        <w:rPr>
          <w:rStyle w:val="10"/>
          <w:rFonts w:eastAsiaTheme="majorEastAsia"/>
          <w:color w:val="000000" w:themeColor="text1"/>
          <w14:textFill>
            <w14:solidFill>
              <w14:schemeClr w14:val="tx1"/>
            </w14:solidFill>
          </w14:textFill>
        </w:rPr>
        <w:t>C. staudtii</w:t>
      </w:r>
      <w:r>
        <w:rPr>
          <w:color w:val="000000" w:themeColor="text1"/>
          <w14:textFill>
            <w14:solidFill>
              <w14:schemeClr w14:val="tx1"/>
            </w14:solidFill>
          </w14:textFill>
        </w:rPr>
        <w:t xml:space="preserve"> demonstrated significant gastroprotective activity, mediated by antisecretory and cytoprotective mechanisms, likely due to flavonoids and phenolic compounds. These findings validate its traditional use in gastrointestinal disorders and highlight its potential as a source of novel anti-ulcer agents.</w:t>
      </w:r>
    </w:p>
    <w:p w14:paraId="505AD6AC">
      <w:pPr>
        <w:pStyle w:val="34"/>
        <w:rPr>
          <w:rFonts w:cs="Times New Roman"/>
          <w:b w:val="0"/>
          <w:bCs/>
          <w:sz w:val="24"/>
          <w:szCs w:val="24"/>
        </w:rPr>
      </w:pPr>
      <w:r>
        <w:rPr>
          <w:bCs/>
        </w:rPr>
        <w:t>Keywords</w:t>
      </w:r>
      <w:r>
        <w:t xml:space="preserve">: </w:t>
      </w:r>
      <w:r>
        <w:rPr>
          <w:rStyle w:val="10"/>
          <w:rFonts w:eastAsiaTheme="majorEastAsia"/>
          <w:b w:val="0"/>
          <w:bCs/>
        </w:rPr>
        <w:t>Cleistopholis staudtii</w:t>
      </w:r>
      <w:r>
        <w:rPr>
          <w:b w:val="0"/>
          <w:bCs/>
        </w:rPr>
        <w:t>, gastric ulcer, pylorus ligation, gastroprotection, butanol fraction</w:t>
      </w:r>
    </w:p>
    <w:p w14:paraId="47EA5E79">
      <w:pPr>
        <w:pStyle w:val="2"/>
      </w:pPr>
      <w:r>
        <w:t>Introduction</w:t>
      </w:r>
    </w:p>
    <w:p w14:paraId="7E456E0B">
      <w:pPr>
        <w:pStyle w:val="17"/>
        <w:jc w:val="both"/>
        <w:rPr>
          <w:color w:val="000000" w:themeColor="text1"/>
          <w14:textFill>
            <w14:solidFill>
              <w14:schemeClr w14:val="tx1"/>
            </w14:solidFill>
          </w14:textFill>
        </w:rPr>
      </w:pPr>
      <w:r>
        <w:rPr>
          <w:color w:val="000000" w:themeColor="text1"/>
          <w14:textFill>
            <w14:solidFill>
              <w14:schemeClr w14:val="tx1"/>
            </w14:solidFill>
          </w14:textFill>
        </w:rPr>
        <w:t xml:space="preserve">Gastric ulcer disease (GUD) remains a major global health concern, affecting millions of people and contributing significantly to morbidity and mortality [1, 2]. The condition arises from an imbalance between offensive factors such as gastric acid, pepsin, and reactive oxygen species, and defensive mechanisms including mucus secretion, bicarbonate production, prostaglandins, and adequate mucosal blood flow [3]. Common risk factors include chronic use of nonsteroidal anti-inflammatory drugs (NSAIDs), alcohol intake, stress, </w:t>
      </w:r>
      <w:r>
        <w:rPr>
          <w:rStyle w:val="10"/>
          <w:rFonts w:eastAsiaTheme="majorEastAsia"/>
          <w:color w:val="000000" w:themeColor="text1"/>
          <w14:textFill>
            <w14:solidFill>
              <w14:schemeClr w14:val="tx1"/>
            </w14:solidFill>
          </w14:textFill>
        </w:rPr>
        <w:t>Helicobacter pylori</w:t>
      </w:r>
      <w:r>
        <w:rPr>
          <w:color w:val="000000" w:themeColor="text1"/>
          <w14:textFill>
            <w14:solidFill>
              <w14:schemeClr w14:val="tx1"/>
            </w14:solidFill>
          </w14:textFill>
        </w:rPr>
        <w:t xml:space="preserve"> infection, and nutritional deficiencies [4]. Despite the availability of effective therapeutic agents such as proton pump inhibitors, H₂-receptor antagonists, and cytoprotective drugs, challenges including drug resistance, side effects, high cost, and relapse rates necessitate the search for safer and more affordable alternatives [5].</w:t>
      </w:r>
    </w:p>
    <w:p w14:paraId="54716476">
      <w:pPr>
        <w:pStyle w:val="17"/>
        <w:jc w:val="both"/>
        <w:rPr>
          <w:color w:val="000000" w:themeColor="text1"/>
          <w14:textFill>
            <w14:solidFill>
              <w14:schemeClr w14:val="tx1"/>
            </w14:solidFill>
          </w14:textFill>
        </w:rPr>
      </w:pPr>
      <w:r>
        <w:rPr>
          <w:color w:val="000000" w:themeColor="text1"/>
          <w14:textFill>
            <w14:solidFill>
              <w14:schemeClr w14:val="tx1"/>
            </w14:solidFill>
          </w14:textFill>
        </w:rPr>
        <w:t>Medicinal plants have historically played a central role in the management of gastrointestinal disorders, particularly in resource-limited settings. Phytochemicals such as flavonoids, tannins, terpenoids, and alkaloids are reported to possess gastroprotective properties by reducing gastric acid secretion, scavenging free radicals, and enhancing mucosal defense mechanisms [2, 6]. Several plant-derived compounds, including rutin and quercetin, have demonstrated potent anti-ulcer activity through their antioxidant and cytoprotective effects [3].</w:t>
      </w:r>
    </w:p>
    <w:p w14:paraId="7B699440">
      <w:pPr>
        <w:pStyle w:val="17"/>
        <w:jc w:val="both"/>
        <w:rPr>
          <w:color w:val="000000" w:themeColor="text1"/>
          <w14:textFill>
            <w14:solidFill>
              <w14:schemeClr w14:val="tx1"/>
            </w14:solidFill>
          </w14:textFill>
        </w:rPr>
      </w:pPr>
      <w:r>
        <w:rPr>
          <w:rStyle w:val="10"/>
          <w:rFonts w:eastAsiaTheme="majorEastAsia"/>
          <w:color w:val="000000" w:themeColor="text1"/>
          <w14:textFill>
            <w14:solidFill>
              <w14:schemeClr w14:val="tx1"/>
            </w14:solidFill>
          </w14:textFill>
        </w:rPr>
        <w:t>Cleistopholis staudtii</w:t>
      </w:r>
      <w:r>
        <w:rPr>
          <w:color w:val="000000" w:themeColor="text1"/>
          <w14:textFill>
            <w14:solidFill>
              <w14:schemeClr w14:val="tx1"/>
            </w14:solidFill>
          </w14:textFill>
        </w:rPr>
        <w:t xml:space="preserve"> (Annonaceae), commonly known as “pepper fruit tree,” is widely distributed in West and Central Africa. Ethnobotanical surveys report its use in traditional medicine for the treatment of inflammatory conditions, pain, infections, and gastrointestinal disturbances [7]. Phytochemical studies have identified alkaloids, flavonoids, terpenoids, and phenolic compounds in the leaves and stem bark, many of which are associated with anti-inflammatory, analgesic, antioxidant, and hepatoprotective activities [8, 9]. These pharmacological properties provide a scientific basis for evaluating its potential anti-ulcer effects.</w:t>
      </w:r>
    </w:p>
    <w:p w14:paraId="754E5A03">
      <w:pPr>
        <w:pStyle w:val="17"/>
        <w:jc w:val="both"/>
        <w:rPr>
          <w:color w:val="000000" w:themeColor="text1"/>
          <w14:textFill>
            <w14:solidFill>
              <w14:schemeClr w14:val="tx1"/>
            </w14:solidFill>
          </w14:textFill>
        </w:rPr>
      </w:pPr>
      <w:r>
        <w:rPr>
          <w:color w:val="000000" w:themeColor="text1"/>
          <w14:textFill>
            <w14:solidFill>
              <w14:schemeClr w14:val="tx1"/>
            </w14:solidFill>
          </w14:textFill>
        </w:rPr>
        <w:t>Given the increasing interest in validating traditional remedies through experimental models, the pylorus ligation method remains a standard and reproducible approach for assessing gastric secretion and ulcer formation [1, 10]. This model mimics hypersecretory conditions, allowing the evaluation of plant extracts for their ability to modulate gastric juice volume, acidity, and ulcer index.</w:t>
      </w:r>
    </w:p>
    <w:p w14:paraId="432760FC">
      <w:pPr>
        <w:rPr>
          <w:rFonts w:hint="default" w:ascii="Times New Roman" w:hAnsi="Times New Roman" w:cs="Times New Roman"/>
          <w:sz w:val="24"/>
          <w:szCs w:val="24"/>
        </w:rPr>
      </w:pPr>
      <w:r>
        <w:rPr>
          <w:rFonts w:hint="default" w:ascii="Times New Roman" w:hAnsi="Times New Roman" w:cs="Times New Roman"/>
          <w:color w:val="000000" w:themeColor="text1"/>
          <w:sz w:val="24"/>
          <w:szCs w:val="24"/>
          <w14:textFill>
            <w14:solidFill>
              <w14:schemeClr w14:val="tx1"/>
            </w14:solidFill>
          </w14:textFill>
        </w:rPr>
        <w:t xml:space="preserve">The present study was therefore designed to investigate the anti-ulcer activity of the ethanol extract of </w:t>
      </w:r>
      <w:r>
        <w:rPr>
          <w:rStyle w:val="10"/>
          <w:rFonts w:hint="default" w:ascii="Times New Roman" w:hAnsi="Times New Roman" w:cs="Times New Roman" w:eastAsiaTheme="majorEastAsia"/>
          <w:color w:val="000000" w:themeColor="text1"/>
          <w:sz w:val="24"/>
          <w:szCs w:val="24"/>
          <w14:textFill>
            <w14:solidFill>
              <w14:schemeClr w14:val="tx1"/>
            </w14:solidFill>
          </w14:textFill>
        </w:rPr>
        <w:t>Cleistopholis staudtii</w:t>
      </w:r>
      <w:r>
        <w:rPr>
          <w:rFonts w:hint="default" w:ascii="Times New Roman" w:hAnsi="Times New Roman" w:cs="Times New Roman"/>
          <w:color w:val="000000" w:themeColor="text1"/>
          <w:sz w:val="24"/>
          <w:szCs w:val="24"/>
          <w14:textFill>
            <w14:solidFill>
              <w14:schemeClr w14:val="tx1"/>
            </w14:solidFill>
          </w14:textFill>
        </w:rPr>
        <w:t xml:space="preserve"> leaves and its solvent fractions using the pylorus ligation method in rats. The findings aim to provide scientific evidence for the folkloric use of this plant in gastrointestinal disorders and contribute to the discovery of plant-based anti-ulcer agents with improved safety profiles.</w:t>
      </w:r>
    </w:p>
    <w:p w14:paraId="6A382493">
      <w:pPr>
        <w:pStyle w:val="2"/>
      </w:pPr>
      <w:r>
        <w:t>Material and methods</w:t>
      </w:r>
    </w:p>
    <w:p w14:paraId="5F3E3DF0">
      <w:pPr>
        <w:spacing w:after="0" w:line="240" w:lineRule="auto"/>
        <w:rPr>
          <w:rFonts w:ascii="Times New Roman" w:hAnsi="Times New Roman"/>
          <w:b/>
          <w:sz w:val="24"/>
          <w:szCs w:val="24"/>
        </w:rPr>
      </w:pPr>
      <w:r>
        <w:rPr>
          <w:rFonts w:ascii="Times New Roman" w:hAnsi="Times New Roman"/>
          <w:b/>
          <w:sz w:val="24"/>
          <w:szCs w:val="24"/>
        </w:rPr>
        <w:t>2.1 Plant material, collection, and authentication</w:t>
      </w:r>
    </w:p>
    <w:p w14:paraId="0B86C093">
      <w:pPr>
        <w:spacing w:line="240" w:lineRule="auto"/>
        <w:jc w:val="both"/>
        <w:rPr>
          <w:rFonts w:ascii="Times New Roman" w:hAnsi="Times New Roman"/>
          <w:sz w:val="24"/>
          <w:szCs w:val="24"/>
        </w:rPr>
      </w:pPr>
      <w:r>
        <w:rPr>
          <w:rFonts w:ascii="Times New Roman" w:hAnsi="Times New Roman"/>
          <w:sz w:val="24"/>
          <w:szCs w:val="24"/>
        </w:rPr>
        <w:t xml:space="preserve">Fresh leaves of </w:t>
      </w:r>
      <w:r>
        <w:rPr>
          <w:rFonts w:ascii="Times New Roman" w:hAnsi="Times New Roman"/>
          <w:i/>
          <w:sz w:val="24"/>
          <w:szCs w:val="24"/>
        </w:rPr>
        <w:t>Cleistopholis staudtii</w:t>
      </w:r>
      <w:r>
        <w:rPr>
          <w:rFonts w:ascii="Times New Roman" w:hAnsi="Times New Roman"/>
          <w:sz w:val="24"/>
          <w:szCs w:val="24"/>
        </w:rPr>
        <w:t xml:space="preserve"> were collected from a single location at Orba, Nsukka, Enugu State, Nigeria on the 4th of May 2021. The plant material was identified and authenticated by Mr. Okeakpu Kyrian of Bioresources Development and Conservation Programme (BDCP).</w:t>
      </w:r>
    </w:p>
    <w:p w14:paraId="306AF3DA">
      <w:pPr>
        <w:spacing w:after="0" w:line="240" w:lineRule="auto"/>
        <w:rPr>
          <w:rFonts w:ascii="Times New Roman" w:hAnsi="Times New Roman"/>
          <w:b/>
          <w:sz w:val="24"/>
          <w:szCs w:val="24"/>
        </w:rPr>
      </w:pPr>
      <w:r>
        <w:rPr>
          <w:rFonts w:ascii="Times New Roman" w:hAnsi="Times New Roman"/>
          <w:b/>
          <w:sz w:val="24"/>
          <w:szCs w:val="24"/>
        </w:rPr>
        <w:t>2.2 Chemicals</w:t>
      </w:r>
    </w:p>
    <w:p w14:paraId="7FCA8411">
      <w:pPr>
        <w:spacing w:line="240" w:lineRule="auto"/>
        <w:jc w:val="both"/>
        <w:rPr>
          <w:rFonts w:ascii="Times New Roman" w:hAnsi="Times New Roman"/>
          <w:sz w:val="24"/>
          <w:szCs w:val="24"/>
        </w:rPr>
      </w:pPr>
      <w:r>
        <w:rPr>
          <w:rFonts w:ascii="Times New Roman" w:hAnsi="Times New Roman"/>
          <w:sz w:val="24"/>
          <w:szCs w:val="24"/>
        </w:rPr>
        <w:t>The following solvents: ethyl acetate, n-hexane, methanol, and n-butanol were used. All solvents were of analytical grade. Omeprazole and Ketetrine anesthesia both procured from Gacowelt, Pharmaceuticals Ltd. in Awka.</w:t>
      </w:r>
    </w:p>
    <w:p w14:paraId="55AA983C">
      <w:pPr>
        <w:spacing w:after="0" w:line="240" w:lineRule="auto"/>
        <w:rPr>
          <w:rFonts w:ascii="Times New Roman" w:hAnsi="Times New Roman"/>
          <w:b/>
          <w:sz w:val="24"/>
          <w:szCs w:val="24"/>
        </w:rPr>
      </w:pPr>
      <w:r>
        <w:rPr>
          <w:rFonts w:ascii="Times New Roman" w:hAnsi="Times New Roman"/>
          <w:b/>
          <w:sz w:val="24"/>
          <w:szCs w:val="24"/>
        </w:rPr>
        <w:t>2.3 Animals</w:t>
      </w:r>
    </w:p>
    <w:p w14:paraId="5511EA2A">
      <w:pPr>
        <w:spacing w:line="240" w:lineRule="auto"/>
        <w:jc w:val="both"/>
        <w:rPr>
          <w:rFonts w:ascii="Times New Roman" w:hAnsi="Times New Roman"/>
          <w:sz w:val="24"/>
          <w:szCs w:val="24"/>
        </w:rPr>
      </w:pPr>
      <w:r>
        <w:rPr>
          <w:rFonts w:ascii="Times New Roman" w:hAnsi="Times New Roman"/>
          <w:sz w:val="24"/>
          <w:szCs w:val="24"/>
        </w:rPr>
        <w:t>Adult Swiss albino mice (25 – 30 g) and rats (180 – 200 g) of both sexes were used for this study. The animals were obtained from the Animal House of the Department of Pharmacology, Faculty of Pharmaceutical Sciences, Nnamdi Azikiwe University, Nigeria. The animals were maintained on standard laboratory animal conditions and fed with rodent feed (Guinea Feeds Nigeria Ltd). They were allowed free access to water ad libitum. All animal experiments were conducted in compliance with NIH guide for care and use of laboratory animals and approved by the Nnamdi Azikiwe University Animal Ethical Committee with approval number NAU/AREC/2024/0056.</w:t>
      </w:r>
    </w:p>
    <w:p w14:paraId="4FA185EA">
      <w:pPr>
        <w:spacing w:after="0" w:line="240" w:lineRule="auto"/>
        <w:rPr>
          <w:rFonts w:ascii="Times New Roman" w:hAnsi="Times New Roman"/>
          <w:b/>
          <w:sz w:val="24"/>
          <w:szCs w:val="24"/>
        </w:rPr>
      </w:pPr>
      <w:r>
        <w:rPr>
          <w:rFonts w:ascii="Times New Roman" w:hAnsi="Times New Roman"/>
          <w:b/>
          <w:sz w:val="24"/>
          <w:szCs w:val="24"/>
        </w:rPr>
        <w:t>2.4 Preparation of plant material</w:t>
      </w:r>
    </w:p>
    <w:p w14:paraId="6EE8C0DC">
      <w:pPr>
        <w:spacing w:line="240" w:lineRule="auto"/>
        <w:jc w:val="both"/>
        <w:rPr>
          <w:rFonts w:ascii="Times New Roman" w:hAnsi="Times New Roman"/>
          <w:sz w:val="24"/>
          <w:szCs w:val="24"/>
        </w:rPr>
      </w:pPr>
      <w:r>
        <w:rPr>
          <w:rFonts w:ascii="Times New Roman" w:hAnsi="Times New Roman"/>
          <w:sz w:val="24"/>
          <w:szCs w:val="24"/>
        </w:rPr>
        <w:t xml:space="preserve">The plant materials were cleaned, spread on a clean sack and placed under the shade for air drying at room temperature for 7 days. The plant materials were further dried in the oven maintained at 40 </w:t>
      </w:r>
      <w:r>
        <w:rPr>
          <w:rFonts w:ascii="Times New Roman" w:hAnsi="Times New Roman"/>
          <w:sz w:val="24"/>
          <w:szCs w:val="24"/>
          <w:vertAlign w:val="superscript"/>
        </w:rPr>
        <w:t>O</w:t>
      </w:r>
      <w:r>
        <w:rPr>
          <w:rFonts w:ascii="Times New Roman" w:hAnsi="Times New Roman"/>
          <w:sz w:val="24"/>
          <w:szCs w:val="24"/>
        </w:rPr>
        <w:t>C followed by milling into a coarse powder using modern laboratory electric milling machine. The powdered materials were stored in airtight container before use.</w:t>
      </w:r>
    </w:p>
    <w:p w14:paraId="49222A21">
      <w:pPr>
        <w:spacing w:after="0" w:line="240" w:lineRule="auto"/>
        <w:rPr>
          <w:rFonts w:ascii="Times New Roman" w:hAnsi="Times New Roman"/>
          <w:b/>
          <w:sz w:val="24"/>
          <w:szCs w:val="24"/>
        </w:rPr>
      </w:pPr>
      <w:r>
        <w:rPr>
          <w:rFonts w:ascii="Times New Roman" w:hAnsi="Times New Roman"/>
          <w:b/>
          <w:sz w:val="24"/>
          <w:szCs w:val="24"/>
        </w:rPr>
        <w:t>2.5 Plant extraction and fractionation</w:t>
      </w:r>
    </w:p>
    <w:p w14:paraId="72096902">
      <w:pPr>
        <w:spacing w:line="240" w:lineRule="auto"/>
        <w:jc w:val="both"/>
        <w:rPr>
          <w:rFonts w:ascii="Times New Roman" w:hAnsi="Times New Roman"/>
          <w:sz w:val="24"/>
          <w:szCs w:val="24"/>
        </w:rPr>
      </w:pPr>
      <w:r>
        <w:rPr>
          <w:rFonts w:ascii="Times New Roman" w:hAnsi="Times New Roman"/>
          <w:sz w:val="24"/>
          <w:szCs w:val="24"/>
        </w:rPr>
        <w:t xml:space="preserve">Two and half kilogram of the pulverized leaves </w:t>
      </w:r>
      <w:r>
        <w:rPr>
          <w:rFonts w:ascii="Times New Roman" w:hAnsi="Times New Roman"/>
          <w:i/>
          <w:sz w:val="24"/>
          <w:szCs w:val="24"/>
        </w:rPr>
        <w:t>C. staudtii</w:t>
      </w:r>
      <w:r>
        <w:rPr>
          <w:rFonts w:ascii="Times New Roman" w:hAnsi="Times New Roman"/>
          <w:sz w:val="24"/>
          <w:szCs w:val="24"/>
        </w:rPr>
        <w:t xml:space="preserve"> extracted by cold maceration in 7.5L of ethanol for 72 h with intermittent shaking. The resulting solution was filtered, and the filtrate concentrated to dryness </w:t>
      </w:r>
      <w:r>
        <w:rPr>
          <w:rFonts w:ascii="Times New Roman" w:hAnsi="Times New Roman"/>
          <w:i/>
          <w:sz w:val="24"/>
          <w:szCs w:val="24"/>
        </w:rPr>
        <w:t>in vacuo</w:t>
      </w:r>
      <w:r>
        <w:rPr>
          <w:rFonts w:ascii="Times New Roman" w:hAnsi="Times New Roman"/>
          <w:sz w:val="24"/>
          <w:szCs w:val="24"/>
        </w:rPr>
        <w:t xml:space="preserve"> using rotary evaporator (RE300 Model, United Kingdom) at 40°C. Then 200 g of the extract was dissolved in 400 ml of water and subjected to liquid-liquid partition successively and exhaustively with n-hexane, ethyl acetate and n-butanol in increasing order of polarity. Fractions soluble in these solvents were concentrated </w:t>
      </w:r>
      <w:r>
        <w:rPr>
          <w:rFonts w:ascii="Times New Roman" w:hAnsi="Times New Roman"/>
          <w:i/>
          <w:sz w:val="24"/>
          <w:szCs w:val="24"/>
        </w:rPr>
        <w:t>in vacuo</w:t>
      </w:r>
      <w:r>
        <w:rPr>
          <w:rFonts w:ascii="Times New Roman" w:hAnsi="Times New Roman"/>
          <w:sz w:val="24"/>
          <w:szCs w:val="24"/>
        </w:rPr>
        <w:t xml:space="preserve"> using rotary evaporator to obtain the n-hexane fraction (HF), ethyl acetate fraction (EAF) and n-butanol fraction (BF). The plant extract and fractions were stored in refrigerator between 0-4°C.</w:t>
      </w:r>
    </w:p>
    <w:p w14:paraId="00F37CAE">
      <w:pPr>
        <w:spacing w:after="0" w:line="240" w:lineRule="auto"/>
        <w:rPr>
          <w:rFonts w:ascii="Times New Roman" w:hAnsi="Times New Roman"/>
          <w:b/>
          <w:sz w:val="24"/>
          <w:szCs w:val="24"/>
        </w:rPr>
      </w:pPr>
      <w:r>
        <w:rPr>
          <w:rFonts w:ascii="Times New Roman" w:hAnsi="Times New Roman"/>
          <w:b/>
          <w:sz w:val="24"/>
          <w:szCs w:val="24"/>
        </w:rPr>
        <w:t xml:space="preserve">2.6 Acute Toxicity (LD50) </w:t>
      </w:r>
    </w:p>
    <w:p w14:paraId="66168B7F">
      <w:pPr>
        <w:spacing w:line="240" w:lineRule="auto"/>
        <w:jc w:val="both"/>
        <w:rPr>
          <w:rFonts w:ascii="Times New Roman" w:hAnsi="Times New Roman"/>
          <w:sz w:val="24"/>
          <w:szCs w:val="24"/>
        </w:rPr>
      </w:pPr>
      <w:r>
        <w:rPr>
          <w:rFonts w:ascii="Times New Roman" w:hAnsi="Times New Roman"/>
          <w:sz w:val="24"/>
          <w:szCs w:val="24"/>
        </w:rPr>
        <w:t xml:space="preserve">The acute toxicity of the extract was determined in mice using the method </w:t>
      </w:r>
      <w:r>
        <w:rPr>
          <w:rFonts w:ascii="Times New Roman" w:hAnsi="Times New Roman"/>
          <w:color w:val="0F1115"/>
          <w:sz w:val="24"/>
          <w:szCs w:val="24"/>
          <w:shd w:val="clear" w:color="auto" w:fill="FFFFFF"/>
        </w:rPr>
        <w:t>described by the Organisation for Economic Co-operation and Development [11]."</w:t>
      </w:r>
      <w:r>
        <w:rPr>
          <w:rFonts w:ascii="Times New Roman" w:hAnsi="Times New Roman"/>
          <w:sz w:val="24"/>
          <w:szCs w:val="24"/>
        </w:rPr>
        <w:t xml:space="preserve"> The tests were done in phases. The first phase (determination of the toxic range) involves 3 groups of 3 mice that received 10, 100, and 1000 mg/kg orally. The treated mice were observed for 24 h for mortality. The death pattern in the first phase determined the doses used for the second phase. Because there were no deaths recorded in the first phase, a fresh batch of four mice received 1000, 1600, 2900, and 5000 mg/kg of the extract each. The treated animals were observed for lethality or signs of acute intoxication for 24 h. The LD50 was estimated as the geometric mean of the highest nonlethal dose and the least toxic dose.</w:t>
      </w:r>
    </w:p>
    <w:p w14:paraId="6D4DEB71">
      <w:pPr>
        <w:tabs>
          <w:tab w:val="left" w:pos="2520"/>
        </w:tabs>
        <w:spacing w:after="0" w:line="240" w:lineRule="auto"/>
        <w:jc w:val="both"/>
        <w:rPr>
          <w:rFonts w:ascii="Times New Roman" w:hAnsi="Times New Roman"/>
          <w:b/>
          <w:bCs/>
          <w:sz w:val="24"/>
          <w:szCs w:val="24"/>
        </w:rPr>
      </w:pPr>
      <w:r>
        <w:rPr>
          <w:rFonts w:ascii="Times New Roman" w:hAnsi="Times New Roman" w:eastAsia="Calibri"/>
          <w:b/>
          <w:bCs/>
          <w:sz w:val="24"/>
          <w:szCs w:val="24"/>
          <w:lang w:eastAsia="en-US"/>
        </w:rPr>
        <w:t xml:space="preserve">2.7 Procedure for Anti-ulcer study (Pylorus ligated method). </w:t>
      </w:r>
    </w:p>
    <w:p w14:paraId="7CEF3BB3">
      <w:pPr>
        <w:spacing w:line="240" w:lineRule="auto"/>
        <w:jc w:val="both"/>
      </w:pPr>
      <w:r>
        <w:rPr>
          <w:rFonts w:ascii="Times New Roman" w:hAnsi="Times New Roman"/>
          <w:sz w:val="24"/>
          <w:szCs w:val="24"/>
        </w:rPr>
        <w:t xml:space="preserve">The effect of the ethanol extract of </w:t>
      </w:r>
      <w:r>
        <w:rPr>
          <w:rStyle w:val="10"/>
          <w:rFonts w:ascii="Times New Roman" w:hAnsi="Times New Roman"/>
          <w:sz w:val="24"/>
          <w:szCs w:val="24"/>
        </w:rPr>
        <w:t>Cleistopholis staudtii</w:t>
      </w:r>
      <w:r>
        <w:rPr>
          <w:rFonts w:ascii="Times New Roman" w:hAnsi="Times New Roman"/>
          <w:sz w:val="24"/>
          <w:szCs w:val="24"/>
        </w:rPr>
        <w:t xml:space="preserve"> on gastric ulcer was studied using the pylorus ligated method as described by [10]. Fifty (50) adult albino rats were divided into ten groups of five rats each. The animals were fasted for 18 hours with free access to water prior to the experiment. Treatments were administered orally as follows: Group 1 received 10 mL/kg distilled water; Group 2 received omeprazole 20 mg/kg; Groups 3 and 4 received crude extract at 250 and 500 mg/kg respectively; Groups 5 and 6 received n-hexane fraction at 250 and 500 mg/kg respectively; Groups 7 and 8 received ethyl acetate fraction at 250 and 500 mg/kg respectively; Groups 9 and 10 received butanol fraction at 250 and 500 mg/kg respectively. One hour after treatment, the animals were anaesthetized with ketamine (60 mg/kg, i.p.). A midline abdominal incision was made, the pylorus was ligated without disturbing the blood supply, and the stomach was repositioned before closing the abdominal wall with sutures. The animals were allowed to recover and maintained for 4 hours without food or water. At the end of this period</w:t>
      </w:r>
      <w:r>
        <w:rPr>
          <w:rFonts w:ascii="Times New Roman" w:hAnsi="Times New Roman"/>
          <w:color w:val="1B1B1B"/>
          <w:sz w:val="24"/>
          <w:szCs w:val="24"/>
          <w:shd w:val="clear" w:color="auto" w:fill="FFFFFF"/>
        </w:rPr>
        <w:t>, the animals were euthanized by cervical dislocation</w:t>
      </w:r>
      <w:r>
        <w:rPr>
          <w:rFonts w:ascii="Times New Roman" w:hAnsi="Times New Roman"/>
          <w:sz w:val="24"/>
          <w:szCs w:val="24"/>
        </w:rPr>
        <w:t>, and their stomachs were excised and opened along the greater curvature. The gastric contents were collected to measure gastric volume, pH, and free/total acidity by titration with NaOH. The stomach mucosa was</w:t>
      </w:r>
      <w:r>
        <w:t xml:space="preserve"> examined for ulceration, and the ulcer index was determined according to standard scoring methods.</w:t>
      </w:r>
    </w:p>
    <w:p w14:paraId="0B9A8AAD">
      <w:pPr>
        <w:pStyle w:val="4"/>
        <w:numPr>
          <w:ilvl w:val="2"/>
          <w:numId w:val="0"/>
        </w:numPr>
        <w:spacing w:before="0" w:line="240" w:lineRule="auto"/>
        <w:ind w:leftChars="0"/>
        <w:jc w:val="both"/>
        <w:rPr>
          <w:rFonts w:ascii="Times New Roman" w:hAnsi="Times New Roman" w:eastAsia="Times New Roman" w:cs="Times New Roman"/>
          <w:i w:val="0"/>
          <w:iCs/>
          <w:color w:val="000000" w:themeColor="text1"/>
          <w:sz w:val="24"/>
          <w:szCs w:val="24"/>
          <w:lang w:eastAsia="en-US"/>
          <w14:textFill>
            <w14:solidFill>
              <w14:schemeClr w14:val="tx1"/>
            </w14:solidFill>
          </w14:textFill>
        </w:rPr>
      </w:pPr>
      <w:r>
        <w:rPr>
          <w:rFonts w:ascii="Times New Roman" w:hAnsi="Times New Roman" w:cs="Times New Roman"/>
          <w:b/>
          <w:bCs/>
          <w:i w:val="0"/>
          <w:iCs/>
          <w:color w:val="000000" w:themeColor="text1"/>
          <w:sz w:val="24"/>
          <w:szCs w:val="24"/>
          <w14:textFill>
            <w14:solidFill>
              <w14:schemeClr w14:val="tx1"/>
            </w14:solidFill>
          </w14:textFill>
        </w:rPr>
        <w:t>2.7.1 Macroscopic Assessment of the Stomach</w:t>
      </w:r>
    </w:p>
    <w:p w14:paraId="24E0AB2E">
      <w:pPr>
        <w:pStyle w:val="17"/>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The stomach was then dissected along the larger curvature, rinsed in normal saline to dislodge gastric residuals, and viewed under 10x magnifying hand lens to see the formation of ulcers. Using the methods explained by Kulkarni, the total numbers of ulcers were tallied and graded (0 = no ulcer, 0.5 = red coloration, 1 = spot ulcers, 2 = deep ulcers, and 3 = perforations) [12]. After that, the ulcer index (UI) and percent ulcer inhibition (%UI) were articulated using the algorithm below:</w:t>
      </w:r>
    </w:p>
    <w:tbl>
      <w:tblPr>
        <w:tblStyle w:val="7"/>
        <w:tblW w:w="10375" w:type="dxa"/>
        <w:tblCellSpacing w:w="15" w:type="dxa"/>
        <w:tblInd w:w="0" w:type="dxa"/>
        <w:tblLayout w:type="autofit"/>
        <w:tblCellMar>
          <w:top w:w="15" w:type="dxa"/>
          <w:left w:w="15" w:type="dxa"/>
          <w:bottom w:w="15" w:type="dxa"/>
          <w:right w:w="15" w:type="dxa"/>
        </w:tblCellMar>
      </w:tblPr>
      <w:tblGrid>
        <w:gridCol w:w="9945"/>
        <w:gridCol w:w="430"/>
      </w:tblGrid>
      <w:tr w14:paraId="751C38FC">
        <w:tblPrEx>
          <w:tblCellMar>
            <w:top w:w="15" w:type="dxa"/>
            <w:left w:w="15" w:type="dxa"/>
            <w:bottom w:w="15" w:type="dxa"/>
            <w:right w:w="15" w:type="dxa"/>
          </w:tblCellMar>
        </w:tblPrEx>
        <w:trPr>
          <w:tblCellSpacing w:w="15" w:type="dxa"/>
        </w:trPr>
        <w:tc>
          <w:tcPr>
            <w:tcW w:w="9900" w:type="dxa"/>
            <w:vAlign w:val="center"/>
          </w:tcPr>
          <w:p w14:paraId="7B2DDC78">
            <w:pPr>
              <w:spacing w:before="450" w:after="450" w:line="240" w:lineRule="auto"/>
              <w:jc w:val="both"/>
              <w:rPr>
                <w:rFonts w:ascii="Times New Roman" w:hAnsi="Times New Roman"/>
                <w:color w:val="000000" w:themeColor="text1"/>
                <w:sz w:val="24"/>
                <w:szCs w:val="24"/>
                <w14:textFill>
                  <w14:solidFill>
                    <w14:schemeClr w14:val="tx1"/>
                  </w14:solidFill>
                </w14:textFill>
              </w:rPr>
            </w:pPr>
            <m:oMathPara>
              <m:oMath>
                <m:r>
                  <m:rPr/>
                  <w:rPr>
                    <w:rFonts w:ascii="Cambria Math" w:hAnsi="Cambria Math"/>
                    <w:color w:val="000000" w:themeColor="text1"/>
                    <w:sz w:val="24"/>
                    <w:szCs w:val="24"/>
                    <w14:textFill>
                      <w14:solidFill>
                        <w14:schemeClr w14:val="tx1"/>
                      </w14:solidFill>
                    </w14:textFill>
                  </w:rPr>
                  <m:t xml:space="preserve">UI= </m:t>
                </m:r>
                <m:f>
                  <m:fPr>
                    <m:ctrlPr>
                      <w:rPr>
                        <w:rFonts w:ascii="Cambria Math" w:hAnsi="Cambria Math"/>
                        <w:i/>
                        <w:color w:val="000000" w:themeColor="text1"/>
                        <w:sz w:val="24"/>
                        <w:szCs w:val="24"/>
                        <w14:textFill>
                          <w14:solidFill>
                            <w14:schemeClr w14:val="tx1"/>
                          </w14:solidFill>
                        </w14:textFill>
                      </w:rPr>
                    </m:ctrlPr>
                  </m:fPr>
                  <m:num>
                    <m:r>
                      <m:rPr/>
                      <w:rPr>
                        <w:rFonts w:ascii="Cambria Math" w:hAnsi="Cambria Math"/>
                        <w:color w:val="000000" w:themeColor="text1"/>
                        <w:sz w:val="24"/>
                        <w:szCs w:val="24"/>
                        <w14:textFill>
                          <w14:solidFill>
                            <w14:schemeClr w14:val="tx1"/>
                          </w14:solidFill>
                        </w14:textFill>
                      </w:rPr>
                      <m:t>UN+US+UP</m:t>
                    </m:r>
                    <m:ctrlPr>
                      <w:rPr>
                        <w:rFonts w:ascii="Cambria Math" w:hAnsi="Cambria Math"/>
                        <w:i/>
                        <w:color w:val="000000" w:themeColor="text1"/>
                        <w:sz w:val="24"/>
                        <w:szCs w:val="24"/>
                        <w14:textFill>
                          <w14:solidFill>
                            <w14:schemeClr w14:val="tx1"/>
                          </w14:solidFill>
                        </w14:textFill>
                      </w:rPr>
                    </m:ctrlPr>
                  </m:num>
                  <m:den>
                    <m:r>
                      <m:rPr/>
                      <w:rPr>
                        <w:rFonts w:ascii="Cambria Math" w:hAnsi="Cambria Math"/>
                        <w:color w:val="000000" w:themeColor="text1"/>
                        <w:sz w:val="24"/>
                        <w:szCs w:val="24"/>
                        <w14:textFill>
                          <w14:solidFill>
                            <w14:schemeClr w14:val="tx1"/>
                          </w14:solidFill>
                        </w14:textFill>
                      </w:rPr>
                      <m:t>10</m:t>
                    </m:r>
                    <m:ctrlPr>
                      <w:rPr>
                        <w:rFonts w:ascii="Cambria Math" w:hAnsi="Cambria Math"/>
                        <w:i/>
                        <w:color w:val="000000" w:themeColor="text1"/>
                        <w:sz w:val="24"/>
                        <w:szCs w:val="24"/>
                        <w14:textFill>
                          <w14:solidFill>
                            <w14:schemeClr w14:val="tx1"/>
                          </w14:solidFill>
                        </w14:textFill>
                      </w:rPr>
                    </m:ctrlPr>
                  </m:den>
                </m:f>
              </m:oMath>
            </m:oMathPara>
          </w:p>
        </w:tc>
        <w:tc>
          <w:tcPr>
            <w:tcW w:w="385" w:type="dxa"/>
            <w:vAlign w:val="center"/>
          </w:tcPr>
          <w:p w14:paraId="29CA1699">
            <w:pPr>
              <w:spacing w:before="450" w:after="45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r>
    </w:tbl>
    <w:p w14:paraId="3B1C1F41">
      <w:pPr>
        <w:pStyle w:val="17"/>
        <w:spacing w:before="45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Where UI = ulcer index; UN = average number of ulcer per animal; US = average severity score, and UP = percentage of animals with ulcer.</w:t>
      </w:r>
    </w:p>
    <w:tbl>
      <w:tblPr>
        <w:tblStyle w:val="7"/>
        <w:tblW w:w="10375" w:type="dxa"/>
        <w:tblCellSpacing w:w="15" w:type="dxa"/>
        <w:tblInd w:w="0" w:type="dxa"/>
        <w:tblLayout w:type="autofit"/>
        <w:tblCellMar>
          <w:top w:w="15" w:type="dxa"/>
          <w:left w:w="15" w:type="dxa"/>
          <w:bottom w:w="15" w:type="dxa"/>
          <w:right w:w="15" w:type="dxa"/>
        </w:tblCellMar>
      </w:tblPr>
      <w:tblGrid>
        <w:gridCol w:w="9930"/>
        <w:gridCol w:w="445"/>
      </w:tblGrid>
      <w:tr w14:paraId="6689D222">
        <w:tblPrEx>
          <w:tblCellMar>
            <w:top w:w="15" w:type="dxa"/>
            <w:left w:w="15" w:type="dxa"/>
            <w:bottom w:w="15" w:type="dxa"/>
            <w:right w:w="15" w:type="dxa"/>
          </w:tblCellMar>
        </w:tblPrEx>
        <w:trPr>
          <w:tblCellSpacing w:w="15" w:type="dxa"/>
        </w:trPr>
        <w:tc>
          <w:tcPr>
            <w:tcW w:w="9885" w:type="dxa"/>
            <w:vAlign w:val="center"/>
          </w:tcPr>
          <w:p w14:paraId="376F0A88">
            <w:pPr>
              <w:spacing w:before="450" w:after="450" w:line="240" w:lineRule="auto"/>
              <w:jc w:val="both"/>
              <w:rPr>
                <w:rFonts w:ascii="Times New Roman" w:hAnsi="Times New Roman"/>
                <w:color w:val="000000" w:themeColor="text1"/>
                <w:sz w:val="24"/>
                <w:szCs w:val="24"/>
                <w14:textFill>
                  <w14:solidFill>
                    <w14:schemeClr w14:val="tx1"/>
                  </w14:solidFill>
                </w14:textFill>
              </w:rPr>
            </w:pPr>
            <m:oMathPara>
              <m:oMath>
                <m:r>
                  <m:rPr>
                    <m:sty m:val="p"/>
                  </m:rPr>
                  <w:rPr>
                    <w:rFonts w:ascii="Cambria Math" w:hAnsi="Cambria Math"/>
                    <w:color w:val="000000" w:themeColor="text1"/>
                    <w:sz w:val="24"/>
                    <w:szCs w:val="24"/>
                    <w14:textFill>
                      <w14:solidFill>
                        <w14:schemeClr w14:val="tx1"/>
                      </w14:solidFill>
                    </w14:textFill>
                  </w:rPr>
                  <m:t xml:space="preserve">%ulcer inhibition </m:t>
                </m:r>
                <m:d>
                  <m:dPr>
                    <m:ctrlPr>
                      <w:rPr>
                        <w:rFonts w:ascii="Cambria Math" w:hAnsi="Cambria Math"/>
                        <w:color w:val="000000" w:themeColor="text1"/>
                        <w:sz w:val="24"/>
                        <w:szCs w:val="24"/>
                        <w14:textFill>
                          <w14:solidFill>
                            <w14:schemeClr w14:val="tx1"/>
                          </w14:solidFill>
                        </w14:textFill>
                      </w:rPr>
                    </m:ctrlPr>
                  </m:dPr>
                  <m:e>
                    <m:r>
                      <m:rPr>
                        <m:sty m:val="p"/>
                      </m:rPr>
                      <w:rPr>
                        <w:rFonts w:ascii="Cambria Math" w:hAnsi="Cambria Math"/>
                        <w:color w:val="000000" w:themeColor="text1"/>
                        <w:sz w:val="24"/>
                        <w:szCs w:val="24"/>
                        <w14:textFill>
                          <w14:solidFill>
                            <w14:schemeClr w14:val="tx1"/>
                          </w14:solidFill>
                        </w14:textFill>
                      </w:rPr>
                      <m:t>%UI</m:t>
                    </m:r>
                    <m:ctrlPr>
                      <w:rPr>
                        <w:rFonts w:ascii="Cambria Math" w:hAnsi="Cambria Math"/>
                        <w:color w:val="000000" w:themeColor="text1"/>
                        <w:sz w:val="24"/>
                        <w:szCs w:val="24"/>
                        <w14:textFill>
                          <w14:solidFill>
                            <w14:schemeClr w14:val="tx1"/>
                          </w14:solidFill>
                        </w14:textFill>
                      </w:rPr>
                    </m:ctrlPr>
                  </m:e>
                </m:d>
                <m:r>
                  <m:rPr/>
                  <w:rPr>
                    <w:rFonts w:ascii="Cambria Math" w:hAnsi="Cambria Math"/>
                    <w:color w:val="000000" w:themeColor="text1"/>
                    <w:sz w:val="24"/>
                    <w:szCs w:val="24"/>
                    <w14:textFill>
                      <w14:solidFill>
                        <w14:schemeClr w14:val="tx1"/>
                      </w14:solidFill>
                    </w14:textFill>
                  </w:rPr>
                  <m:t>=</m:t>
                </m:r>
                <m:f>
                  <m:fPr>
                    <m:ctrlPr>
                      <w:rPr>
                        <w:rFonts w:ascii="Cambria Math" w:hAnsi="Cambria Math"/>
                        <w:i/>
                        <w:color w:val="000000" w:themeColor="text1"/>
                        <w:sz w:val="24"/>
                        <w:szCs w:val="24"/>
                        <w14:textFill>
                          <w14:solidFill>
                            <w14:schemeClr w14:val="tx1"/>
                          </w14:solidFill>
                        </w14:textFill>
                      </w:rPr>
                    </m:ctrlPr>
                  </m:fPr>
                  <m:num>
                    <m:r>
                      <m:rPr>
                        <m:sty m:val="p"/>
                      </m:rPr>
                      <w:rPr>
                        <w:rFonts w:ascii="Cambria Math" w:hAnsi="Cambria Math"/>
                        <w:color w:val="000000" w:themeColor="text1"/>
                        <w:sz w:val="24"/>
                        <w:szCs w:val="24"/>
                        <w14:textFill>
                          <w14:solidFill>
                            <w14:schemeClr w14:val="tx1"/>
                          </w14:solidFill>
                        </w14:textFill>
                      </w:rPr>
                      <m:t>UI control−UI pretreated</m:t>
                    </m:r>
                    <m:ctrlPr>
                      <w:rPr>
                        <w:rFonts w:ascii="Cambria Math" w:hAnsi="Cambria Math"/>
                        <w:i/>
                        <w:color w:val="000000" w:themeColor="text1"/>
                        <w:sz w:val="24"/>
                        <w:szCs w:val="24"/>
                        <w14:textFill>
                          <w14:solidFill>
                            <w14:schemeClr w14:val="tx1"/>
                          </w14:solidFill>
                        </w14:textFill>
                      </w:rPr>
                    </m:ctrlPr>
                  </m:num>
                  <m:den>
                    <m:r>
                      <m:rPr>
                        <m:sty m:val="p"/>
                      </m:rPr>
                      <w:rPr>
                        <w:rFonts w:ascii="Cambria Math" w:hAnsi="Cambria Math"/>
                        <w:color w:val="000000" w:themeColor="text1"/>
                        <w:sz w:val="24"/>
                        <w:szCs w:val="24"/>
                        <w14:textFill>
                          <w14:solidFill>
                            <w14:schemeClr w14:val="tx1"/>
                          </w14:solidFill>
                        </w14:textFill>
                      </w:rPr>
                      <m:t>UI control</m:t>
                    </m:r>
                    <m:ctrlPr>
                      <w:rPr>
                        <w:rFonts w:ascii="Cambria Math" w:hAnsi="Cambria Math"/>
                        <w:i/>
                        <w:color w:val="000000" w:themeColor="text1"/>
                        <w:sz w:val="24"/>
                        <w:szCs w:val="24"/>
                        <w14:textFill>
                          <w14:solidFill>
                            <w14:schemeClr w14:val="tx1"/>
                          </w14:solidFill>
                        </w14:textFill>
                      </w:rPr>
                    </m:ctrlPr>
                  </m:den>
                </m:f>
                <m:r>
                  <m:rPr/>
                  <w:rPr>
                    <w:rFonts w:ascii="Cambria Math" w:hAnsi="Cambria Math"/>
                    <w:color w:val="000000" w:themeColor="text1"/>
                    <w:sz w:val="24"/>
                    <w:szCs w:val="24"/>
                    <w14:textFill>
                      <w14:solidFill>
                        <w14:schemeClr w14:val="tx1"/>
                      </w14:solidFill>
                    </w14:textFill>
                  </w:rPr>
                  <m:t xml:space="preserve"> ×100</m:t>
                </m:r>
              </m:oMath>
            </m:oMathPara>
          </w:p>
        </w:tc>
        <w:tc>
          <w:tcPr>
            <w:tcW w:w="400" w:type="dxa"/>
            <w:vAlign w:val="center"/>
          </w:tcPr>
          <w:p w14:paraId="3ABA75BF">
            <w:pPr>
              <w:spacing w:before="450" w:after="45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p>
        </w:tc>
      </w:tr>
    </w:tbl>
    <w:p w14:paraId="6B00CEA6">
      <w:pPr>
        <w:pStyle w:val="4"/>
        <w:numPr>
          <w:ilvl w:val="2"/>
          <w:numId w:val="0"/>
        </w:numPr>
        <w:spacing w:before="0" w:line="240" w:lineRule="auto"/>
        <w:ind w:leftChars="0"/>
        <w:jc w:val="both"/>
        <w:rPr>
          <w:rFonts w:ascii="Times New Roman" w:hAnsi="Times New Roman" w:cs="Times New Roman"/>
          <w:i w:val="0"/>
          <w:iCs/>
          <w:color w:val="000000" w:themeColor="text1"/>
          <w:sz w:val="24"/>
          <w:szCs w:val="24"/>
          <w14:textFill>
            <w14:solidFill>
              <w14:schemeClr w14:val="tx1"/>
            </w14:solidFill>
          </w14:textFill>
        </w:rPr>
      </w:pPr>
      <w:r>
        <w:rPr>
          <w:rFonts w:ascii="Times New Roman" w:hAnsi="Times New Roman" w:cs="Times New Roman"/>
          <w:b/>
          <w:bCs/>
          <w:i w:val="0"/>
          <w:iCs/>
          <w:color w:val="000000" w:themeColor="text1"/>
          <w:sz w:val="24"/>
          <w:szCs w:val="24"/>
          <w14:textFill>
            <w14:solidFill>
              <w14:schemeClr w14:val="tx1"/>
            </w14:solidFill>
          </w14:textFill>
        </w:rPr>
        <w:t>2.7.2 Determination of Gastric Volume and pH</w:t>
      </w:r>
    </w:p>
    <w:p w14:paraId="4E2B6AFD">
      <w:pPr>
        <w:pStyle w:val="17"/>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The stomach contents were emptied into measuring tubes, centrifuged for 10 min at 1000 rpm, and then the volume of the supernatant was recorded. Then, 1 mL of gastric juice was aliquoted out of the supernatant, mixed with 1 mL of distilled water, and the pH of the solution was determined using a pH meter.</w:t>
      </w:r>
    </w:p>
    <w:p w14:paraId="4CA673E0">
      <w:pPr>
        <w:pStyle w:val="4"/>
        <w:numPr>
          <w:ilvl w:val="2"/>
          <w:numId w:val="0"/>
        </w:numPr>
        <w:spacing w:before="0" w:line="240" w:lineRule="auto"/>
        <w:ind w:leftChars="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i w:val="0"/>
          <w:iCs/>
          <w:color w:val="000000" w:themeColor="text1"/>
          <w:sz w:val="24"/>
          <w:szCs w:val="24"/>
          <w14:textFill>
            <w14:solidFill>
              <w14:schemeClr w14:val="tx1"/>
            </w14:solidFill>
          </w14:textFill>
        </w:rPr>
        <w:t>2.7.3 Determination of Total Acidity</w:t>
      </w:r>
    </w:p>
    <w:p w14:paraId="5BBCEC96">
      <w:pPr>
        <w:pStyle w:val="17"/>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After recording the pH, a 50 mL conical flask was filled with a sample of 1 mL gastric juice dissolved with 1 mL of distilled water. After that, 2–3 drops of phenolphthalein were added and titrated with 0.01 N NaOH until a persistent pink color was attained. The quantity of 0.01 N NaOH utilized was noted. The total acidity was then estimated using this formula in mEq/L [13]:</w:t>
      </w:r>
    </w:p>
    <w:tbl>
      <w:tblPr>
        <w:tblStyle w:val="7"/>
        <w:tblW w:w="10420" w:type="dxa"/>
        <w:tblCellSpacing w:w="15" w:type="dxa"/>
        <w:tblInd w:w="0" w:type="dxa"/>
        <w:tblLayout w:type="autofit"/>
        <w:tblCellMar>
          <w:top w:w="15" w:type="dxa"/>
          <w:left w:w="15" w:type="dxa"/>
          <w:bottom w:w="15" w:type="dxa"/>
          <w:right w:w="15" w:type="dxa"/>
        </w:tblCellMar>
      </w:tblPr>
      <w:tblGrid>
        <w:gridCol w:w="9930"/>
        <w:gridCol w:w="490"/>
      </w:tblGrid>
      <w:tr w14:paraId="7FC8BF49">
        <w:tblPrEx>
          <w:tblCellMar>
            <w:top w:w="15" w:type="dxa"/>
            <w:left w:w="15" w:type="dxa"/>
            <w:bottom w:w="15" w:type="dxa"/>
            <w:right w:w="15" w:type="dxa"/>
          </w:tblCellMar>
        </w:tblPrEx>
        <w:trPr>
          <w:tblCellSpacing w:w="15" w:type="dxa"/>
        </w:trPr>
        <w:tc>
          <w:tcPr>
            <w:tcW w:w="9885" w:type="dxa"/>
            <w:vAlign w:val="center"/>
          </w:tcPr>
          <w:p w14:paraId="5F9D55B9">
            <w:pPr>
              <w:spacing w:before="450" w:after="450" w:line="240" w:lineRule="auto"/>
              <w:jc w:val="both"/>
              <w:rPr>
                <w:rFonts w:ascii="Times New Roman" w:hAnsi="Times New Roman"/>
                <w:color w:val="000000" w:themeColor="text1"/>
                <w:sz w:val="24"/>
                <w:szCs w:val="24"/>
                <w14:textFill>
                  <w14:solidFill>
                    <w14:schemeClr w14:val="tx1"/>
                  </w14:solidFill>
                </w14:textFill>
              </w:rPr>
            </w:pPr>
            <m:oMathPara>
              <m:oMath>
                <m:r>
                  <m:rPr>
                    <m:sty m:val="p"/>
                  </m:rPr>
                  <w:rPr>
                    <w:rFonts w:ascii="Cambria Math" w:hAnsi="Cambria Math"/>
                    <w:color w:val="000000" w:themeColor="text1"/>
                    <w:sz w:val="24"/>
                    <w:szCs w:val="24"/>
                    <w14:textFill>
                      <w14:solidFill>
                        <w14:schemeClr w14:val="tx1"/>
                      </w14:solidFill>
                    </w14:textFill>
                  </w:rPr>
                  <m:t>Acidity (mEq/L) =</m:t>
                </m:r>
                <m:f>
                  <m:fPr>
                    <m:ctrlPr>
                      <w:rPr>
                        <w:rFonts w:ascii="Cambria Math" w:hAnsi="Cambria Math"/>
                        <w:i/>
                        <w:color w:val="000000" w:themeColor="text1"/>
                        <w:sz w:val="24"/>
                        <w:szCs w:val="24"/>
                        <w14:textFill>
                          <w14:solidFill>
                            <w14:schemeClr w14:val="tx1"/>
                          </w14:solidFill>
                        </w14:textFill>
                      </w:rPr>
                    </m:ctrlPr>
                  </m:fPr>
                  <m:num>
                    <m:r>
                      <m:rPr/>
                      <w:rPr>
                        <w:rFonts w:ascii="Cambria Math" w:hAnsi="Cambria Math"/>
                        <w:color w:val="000000" w:themeColor="text1"/>
                        <w:sz w:val="24"/>
                        <w:szCs w:val="24"/>
                        <w14:textFill>
                          <w14:solidFill>
                            <w14:schemeClr w14:val="tx1"/>
                          </w14:solidFill>
                        </w14:textFill>
                      </w:rPr>
                      <m:t>VNaOH ×N ×100 mEq/L</m:t>
                    </m:r>
                    <m:ctrlPr>
                      <w:rPr>
                        <w:rFonts w:ascii="Cambria Math" w:hAnsi="Cambria Math"/>
                        <w:i/>
                        <w:color w:val="000000" w:themeColor="text1"/>
                        <w:sz w:val="24"/>
                        <w:szCs w:val="24"/>
                        <w14:textFill>
                          <w14:solidFill>
                            <w14:schemeClr w14:val="tx1"/>
                          </w14:solidFill>
                        </w14:textFill>
                      </w:rPr>
                    </m:ctrlPr>
                  </m:num>
                  <m:den>
                    <m:r>
                      <m:rPr/>
                      <w:rPr>
                        <w:rFonts w:ascii="Cambria Math" w:hAnsi="Cambria Math"/>
                        <w:color w:val="000000" w:themeColor="text1"/>
                        <w:sz w:val="24"/>
                        <w:szCs w:val="24"/>
                        <w14:textFill>
                          <w14:solidFill>
                            <w14:schemeClr w14:val="tx1"/>
                          </w14:solidFill>
                        </w14:textFill>
                      </w:rPr>
                      <m:t>0.1</m:t>
                    </m:r>
                    <m:ctrlPr>
                      <w:rPr>
                        <w:rFonts w:ascii="Cambria Math" w:hAnsi="Cambria Math"/>
                        <w:i/>
                        <w:color w:val="000000" w:themeColor="text1"/>
                        <w:sz w:val="24"/>
                        <w:szCs w:val="24"/>
                        <w14:textFill>
                          <w14:solidFill>
                            <w14:schemeClr w14:val="tx1"/>
                          </w14:solidFill>
                        </w14:textFill>
                      </w:rPr>
                    </m:ctrlPr>
                  </m:den>
                </m:f>
              </m:oMath>
            </m:oMathPara>
          </w:p>
        </w:tc>
        <w:tc>
          <w:tcPr>
            <w:tcW w:w="445" w:type="dxa"/>
            <w:vAlign w:val="center"/>
          </w:tcPr>
          <w:p w14:paraId="59F5350F">
            <w:pPr>
              <w:spacing w:before="450" w:after="45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w:t>
            </w:r>
          </w:p>
        </w:tc>
      </w:tr>
    </w:tbl>
    <w:p w14:paraId="0F8ED9F4">
      <w:pPr>
        <w:pStyle w:val="17"/>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Where </w:t>
      </w:r>
      <w:r>
        <w:rPr>
          <w:rStyle w:val="10"/>
          <w:color w:val="000000" w:themeColor="text1"/>
          <w14:textFill>
            <w14:solidFill>
              <w14:schemeClr w14:val="tx1"/>
            </w14:solidFill>
          </w14:textFill>
        </w:rPr>
        <w:t>V</w:t>
      </w:r>
      <w:r>
        <w:rPr>
          <w:color w:val="000000" w:themeColor="text1"/>
          <w14:textFill>
            <w14:solidFill>
              <w14:schemeClr w14:val="tx1"/>
            </w14:solidFill>
          </w14:textFill>
        </w:rPr>
        <w:t> = volume and </w:t>
      </w:r>
      <w:r>
        <w:rPr>
          <w:rStyle w:val="10"/>
          <w:color w:val="000000" w:themeColor="text1"/>
          <w14:textFill>
            <w14:solidFill>
              <w14:schemeClr w14:val="tx1"/>
            </w14:solidFill>
          </w14:textFill>
        </w:rPr>
        <w:t>N</w:t>
      </w:r>
      <w:r>
        <w:rPr>
          <w:color w:val="000000" w:themeColor="text1"/>
          <w14:textFill>
            <w14:solidFill>
              <w14:schemeClr w14:val="tx1"/>
            </w14:solidFill>
          </w14:textFill>
        </w:rPr>
        <w:t> = normality.</w:t>
      </w:r>
    </w:p>
    <w:p w14:paraId="687841F0">
      <w:pPr>
        <w:pStyle w:val="17"/>
        <w:spacing w:before="0" w:beforeAutospacing="0" w:after="0" w:afterAutospacing="0"/>
        <w:jc w:val="both"/>
        <w:rPr>
          <w:color w:val="000000" w:themeColor="text1"/>
          <w14:textFill>
            <w14:solidFill>
              <w14:schemeClr w14:val="tx1"/>
            </w14:solidFill>
          </w14:textFill>
        </w:rPr>
      </w:pPr>
    </w:p>
    <w:p w14:paraId="4BF2D828">
      <w:pPr>
        <w:spacing w:after="0" w:line="240" w:lineRule="auto"/>
        <w:rPr>
          <w:rFonts w:ascii="Times New Roman" w:hAnsi="Times New Roman"/>
          <w:b/>
          <w:sz w:val="24"/>
          <w:szCs w:val="24"/>
        </w:rPr>
      </w:pPr>
      <w:r>
        <w:rPr>
          <w:rFonts w:ascii="Times New Roman" w:hAnsi="Times New Roman"/>
          <w:b/>
          <w:sz w:val="24"/>
          <w:szCs w:val="24"/>
        </w:rPr>
        <w:t>2.8 Statistical analysis</w:t>
      </w:r>
    </w:p>
    <w:p w14:paraId="10A1DE15">
      <w:r>
        <w:rPr>
          <w:rFonts w:ascii="Times New Roman" w:hAnsi="Times New Roman"/>
          <w:sz w:val="24"/>
          <w:szCs w:val="24"/>
        </w:rPr>
        <w:t xml:space="preserve">Results were presented as mean ± Standard error of mean (SEM). The analysis of variance in the outcome of the treatment (one way ANOVA) was done using Statistical Package for Social Science (SPSS, version 20). Multiple comparisons for post hoc analysis was done using Turkey’s test. The differences between the treatment groups were determined by multiple comparisons of mean ranks for all groups. In all cases, a probability error of less than 0.05 was selected as the criterion for statistical significance. </w:t>
      </w:r>
    </w:p>
    <w:p w14:paraId="461D1A07">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Results </w:t>
      </w:r>
    </w:p>
    <w:p w14:paraId="7536C417">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TABLE 1: RESULT OF ACUTE TOXICITY STUDIES</w:t>
      </w:r>
    </w:p>
    <w:tbl>
      <w:tblPr>
        <w:tblStyle w:val="57"/>
        <w:tblW w:w="9350"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6"/>
        <w:gridCol w:w="3117"/>
        <w:gridCol w:w="3117"/>
      </w:tblGrid>
      <w:tr w14:paraId="25AEE4D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Borders>
              <w:top w:val="single" w:color="000000" w:themeColor="text1" w:sz="4" w:space="0"/>
              <w:bottom w:val="single" w:color="auto" w:sz="4" w:space="0"/>
            </w:tcBorders>
            <w:shd w:val="clear" w:color="auto" w:fill="auto"/>
          </w:tcPr>
          <w:p w14:paraId="33CA7F9E">
            <w:pPr>
              <w:spacing w:after="0" w:line="240" w:lineRule="auto"/>
              <w:jc w:val="both"/>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PHASE 1</w:t>
            </w:r>
          </w:p>
        </w:tc>
        <w:tc>
          <w:tcPr>
            <w:tcW w:w="3117" w:type="dxa"/>
            <w:tcBorders>
              <w:top w:val="single" w:color="000000" w:themeColor="text1" w:sz="4" w:space="0"/>
              <w:bottom w:val="single" w:color="auto" w:sz="4" w:space="0"/>
            </w:tcBorders>
            <w:shd w:val="clear" w:color="auto" w:fill="auto"/>
          </w:tcPr>
          <w:p w14:paraId="5E893D76">
            <w:pPr>
              <w:spacing w:after="0" w:line="240" w:lineRule="auto"/>
              <w:jc w:val="both"/>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DOSE (ml/kg)</w:t>
            </w:r>
          </w:p>
        </w:tc>
        <w:tc>
          <w:tcPr>
            <w:tcW w:w="3117" w:type="dxa"/>
            <w:tcBorders>
              <w:top w:val="single" w:color="000000" w:themeColor="text1" w:sz="4" w:space="0"/>
              <w:bottom w:val="single" w:color="auto" w:sz="4" w:space="0"/>
            </w:tcBorders>
            <w:shd w:val="clear" w:color="auto" w:fill="auto"/>
          </w:tcPr>
          <w:p w14:paraId="2D5675B9">
            <w:pPr>
              <w:spacing w:after="0" w:line="240" w:lineRule="auto"/>
              <w:jc w:val="both"/>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NUMBER OF DEATH</w:t>
            </w:r>
          </w:p>
        </w:tc>
      </w:tr>
      <w:tr w14:paraId="4C85AAF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Borders>
              <w:top w:val="single" w:color="auto" w:sz="4" w:space="0"/>
            </w:tcBorders>
            <w:shd w:val="clear" w:color="auto" w:fill="auto"/>
          </w:tcPr>
          <w:p w14:paraId="28B586BC">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Group 1</w:t>
            </w:r>
          </w:p>
        </w:tc>
        <w:tc>
          <w:tcPr>
            <w:tcW w:w="3117" w:type="dxa"/>
            <w:tcBorders>
              <w:top w:val="single" w:color="auto" w:sz="4" w:space="0"/>
            </w:tcBorders>
            <w:shd w:val="clear" w:color="auto" w:fill="auto"/>
          </w:tcPr>
          <w:p w14:paraId="4754FA9F">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10</w:t>
            </w:r>
          </w:p>
        </w:tc>
        <w:tc>
          <w:tcPr>
            <w:tcW w:w="3117" w:type="dxa"/>
            <w:tcBorders>
              <w:top w:val="single" w:color="auto" w:sz="4" w:space="0"/>
            </w:tcBorders>
            <w:shd w:val="clear" w:color="auto" w:fill="auto"/>
          </w:tcPr>
          <w:p w14:paraId="781A3EF1">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0/3</w:t>
            </w:r>
          </w:p>
        </w:tc>
      </w:tr>
      <w:tr w14:paraId="0262D30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shd w:val="clear" w:color="auto" w:fill="auto"/>
          </w:tcPr>
          <w:p w14:paraId="19BB203F">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Group 2</w:t>
            </w:r>
          </w:p>
        </w:tc>
        <w:tc>
          <w:tcPr>
            <w:tcW w:w="3117" w:type="dxa"/>
            <w:shd w:val="clear" w:color="auto" w:fill="auto"/>
          </w:tcPr>
          <w:p w14:paraId="53D60123">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100</w:t>
            </w:r>
          </w:p>
        </w:tc>
        <w:tc>
          <w:tcPr>
            <w:tcW w:w="3117" w:type="dxa"/>
            <w:shd w:val="clear" w:color="auto" w:fill="auto"/>
          </w:tcPr>
          <w:p w14:paraId="2995C9A3">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0/3</w:t>
            </w:r>
          </w:p>
        </w:tc>
      </w:tr>
      <w:tr w14:paraId="0A7C960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Borders>
              <w:bottom w:val="single" w:color="auto" w:sz="4" w:space="0"/>
            </w:tcBorders>
            <w:shd w:val="clear" w:color="auto" w:fill="auto"/>
          </w:tcPr>
          <w:p w14:paraId="22E0FA64">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Group 3</w:t>
            </w:r>
          </w:p>
        </w:tc>
        <w:tc>
          <w:tcPr>
            <w:tcW w:w="3117" w:type="dxa"/>
            <w:tcBorders>
              <w:bottom w:val="single" w:color="auto" w:sz="4" w:space="0"/>
            </w:tcBorders>
            <w:shd w:val="clear" w:color="auto" w:fill="auto"/>
          </w:tcPr>
          <w:p w14:paraId="6AAD1449">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1000</w:t>
            </w:r>
          </w:p>
        </w:tc>
        <w:tc>
          <w:tcPr>
            <w:tcW w:w="3117" w:type="dxa"/>
            <w:tcBorders>
              <w:bottom w:val="single" w:color="auto" w:sz="4" w:space="0"/>
            </w:tcBorders>
            <w:shd w:val="clear" w:color="auto" w:fill="auto"/>
          </w:tcPr>
          <w:p w14:paraId="2949E19D">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0/3</w:t>
            </w:r>
          </w:p>
        </w:tc>
      </w:tr>
      <w:tr w14:paraId="4B5B638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Borders>
              <w:top w:val="single" w:color="auto" w:sz="4" w:space="0"/>
              <w:bottom w:val="single" w:color="auto" w:sz="4" w:space="0"/>
            </w:tcBorders>
            <w:shd w:val="clear" w:color="auto" w:fill="auto"/>
          </w:tcPr>
          <w:p w14:paraId="248B0568">
            <w:pPr>
              <w:spacing w:after="0" w:line="240" w:lineRule="auto"/>
              <w:jc w:val="both"/>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PHASE 2</w:t>
            </w:r>
          </w:p>
        </w:tc>
        <w:tc>
          <w:tcPr>
            <w:tcW w:w="3117" w:type="dxa"/>
            <w:tcBorders>
              <w:top w:val="single" w:color="auto" w:sz="4" w:space="0"/>
              <w:bottom w:val="single" w:color="auto" w:sz="4" w:space="0"/>
            </w:tcBorders>
            <w:shd w:val="clear" w:color="auto" w:fill="auto"/>
          </w:tcPr>
          <w:p w14:paraId="54DBB27D">
            <w:pPr>
              <w:spacing w:after="0" w:line="240" w:lineRule="auto"/>
              <w:jc w:val="both"/>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DOSE (ml/kg)</w:t>
            </w:r>
          </w:p>
        </w:tc>
        <w:tc>
          <w:tcPr>
            <w:tcW w:w="3117" w:type="dxa"/>
            <w:tcBorders>
              <w:top w:val="single" w:color="auto" w:sz="4" w:space="0"/>
              <w:bottom w:val="single" w:color="auto" w:sz="4" w:space="0"/>
            </w:tcBorders>
            <w:shd w:val="clear" w:color="auto" w:fill="auto"/>
          </w:tcPr>
          <w:p w14:paraId="1ABAC7C6">
            <w:pPr>
              <w:spacing w:after="0" w:line="240" w:lineRule="auto"/>
              <w:jc w:val="both"/>
              <w:rPr>
                <w:rFonts w:ascii="Times New Roman" w:hAnsi="Times New Roman" w:eastAsia="Times New Roman"/>
                <w:b/>
                <w:color w:val="000000" w:themeColor="text1"/>
                <w:sz w:val="24"/>
                <w:szCs w:val="24"/>
                <w14:textFill>
                  <w14:solidFill>
                    <w14:schemeClr w14:val="tx1"/>
                  </w14:solidFill>
                </w14:textFill>
              </w:rPr>
            </w:pPr>
            <w:r>
              <w:rPr>
                <w:rFonts w:ascii="Times New Roman" w:hAnsi="Times New Roman" w:eastAsia="Times New Roman"/>
                <w:b/>
                <w:color w:val="000000" w:themeColor="text1"/>
                <w:sz w:val="24"/>
                <w:szCs w:val="24"/>
                <w14:textFill>
                  <w14:solidFill>
                    <w14:schemeClr w14:val="tx1"/>
                  </w14:solidFill>
                </w14:textFill>
              </w:rPr>
              <w:t>NUMBER OF DEATH</w:t>
            </w:r>
          </w:p>
        </w:tc>
      </w:tr>
      <w:tr w14:paraId="7B2C2F4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Borders>
              <w:top w:val="single" w:color="auto" w:sz="4" w:space="0"/>
            </w:tcBorders>
            <w:shd w:val="clear" w:color="auto" w:fill="auto"/>
          </w:tcPr>
          <w:p w14:paraId="3582C87B">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Group 1</w:t>
            </w:r>
          </w:p>
        </w:tc>
        <w:tc>
          <w:tcPr>
            <w:tcW w:w="3117" w:type="dxa"/>
            <w:tcBorders>
              <w:top w:val="single" w:color="auto" w:sz="4" w:space="0"/>
            </w:tcBorders>
            <w:shd w:val="clear" w:color="auto" w:fill="auto"/>
          </w:tcPr>
          <w:p w14:paraId="5649A8B1">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1600</w:t>
            </w:r>
          </w:p>
        </w:tc>
        <w:tc>
          <w:tcPr>
            <w:tcW w:w="3117" w:type="dxa"/>
            <w:tcBorders>
              <w:top w:val="single" w:color="auto" w:sz="4" w:space="0"/>
            </w:tcBorders>
            <w:shd w:val="clear" w:color="auto" w:fill="auto"/>
          </w:tcPr>
          <w:p w14:paraId="2C569A46">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0/1</w:t>
            </w:r>
          </w:p>
        </w:tc>
      </w:tr>
      <w:tr w14:paraId="232E16E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shd w:val="clear" w:color="auto" w:fill="auto"/>
          </w:tcPr>
          <w:p w14:paraId="76EA3483">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Group 2</w:t>
            </w:r>
          </w:p>
        </w:tc>
        <w:tc>
          <w:tcPr>
            <w:tcW w:w="3117" w:type="dxa"/>
            <w:shd w:val="clear" w:color="auto" w:fill="auto"/>
          </w:tcPr>
          <w:p w14:paraId="502F39C1">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2900</w:t>
            </w:r>
          </w:p>
        </w:tc>
        <w:tc>
          <w:tcPr>
            <w:tcW w:w="3117" w:type="dxa"/>
            <w:shd w:val="clear" w:color="auto" w:fill="auto"/>
          </w:tcPr>
          <w:p w14:paraId="1D121265">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0/1</w:t>
            </w:r>
          </w:p>
        </w:tc>
      </w:tr>
      <w:tr w14:paraId="7FAB3A5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shd w:val="clear" w:color="auto" w:fill="auto"/>
          </w:tcPr>
          <w:p w14:paraId="51D9E6CB">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Group 3</w:t>
            </w:r>
          </w:p>
        </w:tc>
        <w:tc>
          <w:tcPr>
            <w:tcW w:w="3117" w:type="dxa"/>
            <w:shd w:val="clear" w:color="auto" w:fill="auto"/>
          </w:tcPr>
          <w:p w14:paraId="7C63782A">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5000</w:t>
            </w:r>
          </w:p>
        </w:tc>
        <w:tc>
          <w:tcPr>
            <w:tcW w:w="3117" w:type="dxa"/>
            <w:shd w:val="clear" w:color="auto" w:fill="auto"/>
          </w:tcPr>
          <w:p w14:paraId="0044CA0E">
            <w:pPr>
              <w:spacing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0/1</w:t>
            </w:r>
          </w:p>
        </w:tc>
      </w:tr>
    </w:tbl>
    <w:p w14:paraId="1CE6B973">
      <w:pPr>
        <w:spacing w:line="240" w:lineRule="auto"/>
        <w:jc w:val="both"/>
        <w:rPr>
          <w:rFonts w:ascii="Times New Roman" w:hAnsi="Times New Roman"/>
          <w:sz w:val="24"/>
          <w:szCs w:val="24"/>
        </w:rPr>
      </w:pPr>
      <w:r>
        <w:rPr>
          <w:rFonts w:ascii="Times New Roman" w:hAnsi="Times New Roman"/>
          <w:sz w:val="24"/>
          <w:szCs w:val="24"/>
        </w:rPr>
        <w:t>The oral LD50 was therefore estimated to be above 5000mg/kg in mice</w:t>
      </w:r>
    </w:p>
    <w:p w14:paraId="165086AC">
      <w:pPr>
        <w:tabs>
          <w:tab w:val="left" w:pos="2520"/>
        </w:tabs>
        <w:spacing w:after="0" w:line="240" w:lineRule="auto"/>
        <w:jc w:val="both"/>
        <w:rPr>
          <w:rFonts w:ascii="Times New Roman" w:hAnsi="Times New Roman"/>
          <w:bCs/>
          <w:sz w:val="24"/>
          <w:szCs w:val="24"/>
        </w:rPr>
      </w:pPr>
      <w:r>
        <w:rPr>
          <w:rFonts w:ascii="Times New Roman" w:hAnsi="Times New Roman"/>
          <w:sz w:val="24"/>
          <w:szCs w:val="24"/>
        </w:rPr>
        <w:t xml:space="preserve">3.2 Table 2: The impact of </w:t>
      </w:r>
      <w:r>
        <w:rPr>
          <w:rFonts w:ascii="Times New Roman" w:hAnsi="Times New Roman"/>
          <w:i/>
          <w:sz w:val="24"/>
          <w:szCs w:val="24"/>
        </w:rPr>
        <w:t>Cleistopholis staudtii</w:t>
      </w:r>
      <w:r>
        <w:rPr>
          <w:rFonts w:ascii="Times New Roman" w:hAnsi="Times New Roman"/>
          <w:sz w:val="24"/>
          <w:szCs w:val="24"/>
        </w:rPr>
        <w:t xml:space="preserve"> crude extract and solvent fractions on ulcer number, ulcer index and percentage ulcer inhibition in pyloric-ligated rats.</w:t>
      </w:r>
    </w:p>
    <w:tbl>
      <w:tblPr>
        <w:tblStyle w:val="7"/>
        <w:tblW w:w="8840" w:type="dxa"/>
        <w:tblInd w:w="0" w:type="dxa"/>
        <w:tblLayout w:type="autofit"/>
        <w:tblCellMar>
          <w:top w:w="0" w:type="dxa"/>
          <w:left w:w="108" w:type="dxa"/>
          <w:bottom w:w="0" w:type="dxa"/>
          <w:right w:w="108" w:type="dxa"/>
        </w:tblCellMar>
      </w:tblPr>
      <w:tblGrid>
        <w:gridCol w:w="960"/>
        <w:gridCol w:w="2721"/>
        <w:gridCol w:w="1699"/>
        <w:gridCol w:w="1660"/>
        <w:gridCol w:w="1800"/>
      </w:tblGrid>
      <w:tr w14:paraId="2B2AB8AB">
        <w:tblPrEx>
          <w:tblCellMar>
            <w:top w:w="0" w:type="dxa"/>
            <w:left w:w="108" w:type="dxa"/>
            <w:bottom w:w="0" w:type="dxa"/>
            <w:right w:w="108" w:type="dxa"/>
          </w:tblCellMar>
        </w:tblPrEx>
        <w:trPr>
          <w:trHeight w:val="315"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9D4E7DA">
            <w:pPr>
              <w:spacing w:after="0" w:line="240" w:lineRule="auto"/>
              <w:rPr>
                <w:rFonts w:ascii="Times New Roman" w:hAnsi="Times New Roman" w:eastAsia="Times New Roman"/>
                <w:b/>
                <w:bCs/>
                <w:color w:val="000000"/>
                <w:lang w:eastAsia="en-US"/>
              </w:rPr>
            </w:pPr>
            <w:r>
              <w:rPr>
                <w:rFonts w:ascii="Times New Roman" w:hAnsi="Times New Roman" w:eastAsia="Times New Roman"/>
                <w:b/>
                <w:bCs/>
                <w:color w:val="000000"/>
                <w:lang w:eastAsia="en-US"/>
              </w:rPr>
              <w:t>Group</w:t>
            </w:r>
          </w:p>
        </w:tc>
        <w:tc>
          <w:tcPr>
            <w:tcW w:w="2721" w:type="dxa"/>
            <w:tcBorders>
              <w:top w:val="single" w:color="auto" w:sz="4" w:space="0"/>
              <w:left w:val="nil"/>
              <w:bottom w:val="single" w:color="auto" w:sz="4" w:space="0"/>
              <w:right w:val="single" w:color="auto" w:sz="4" w:space="0"/>
            </w:tcBorders>
            <w:shd w:val="clear" w:color="auto" w:fill="auto"/>
            <w:vAlign w:val="center"/>
          </w:tcPr>
          <w:p w14:paraId="735563A2">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Treatment</w:t>
            </w:r>
          </w:p>
        </w:tc>
        <w:tc>
          <w:tcPr>
            <w:tcW w:w="1699" w:type="dxa"/>
            <w:tcBorders>
              <w:top w:val="single" w:color="auto" w:sz="4" w:space="0"/>
              <w:left w:val="nil"/>
              <w:bottom w:val="single" w:color="auto" w:sz="4" w:space="0"/>
              <w:right w:val="single" w:color="auto" w:sz="4" w:space="0"/>
            </w:tcBorders>
            <w:shd w:val="clear" w:color="auto" w:fill="auto"/>
            <w:vAlign w:val="center"/>
          </w:tcPr>
          <w:p w14:paraId="06E0A82C">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Number of ulcer</w:t>
            </w:r>
          </w:p>
        </w:tc>
        <w:tc>
          <w:tcPr>
            <w:tcW w:w="1660" w:type="dxa"/>
            <w:tcBorders>
              <w:top w:val="single" w:color="auto" w:sz="4" w:space="0"/>
              <w:left w:val="nil"/>
              <w:bottom w:val="single" w:color="auto" w:sz="4" w:space="0"/>
              <w:right w:val="single" w:color="auto" w:sz="4" w:space="0"/>
            </w:tcBorders>
            <w:shd w:val="clear" w:color="auto" w:fill="auto"/>
            <w:vAlign w:val="center"/>
          </w:tcPr>
          <w:p w14:paraId="766D2E53">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Ulcer index</w:t>
            </w:r>
          </w:p>
        </w:tc>
        <w:tc>
          <w:tcPr>
            <w:tcW w:w="1800" w:type="dxa"/>
            <w:tcBorders>
              <w:top w:val="single" w:color="auto" w:sz="4" w:space="0"/>
              <w:left w:val="nil"/>
              <w:bottom w:val="single" w:color="auto" w:sz="4" w:space="0"/>
              <w:right w:val="single" w:color="auto" w:sz="4" w:space="0"/>
            </w:tcBorders>
            <w:shd w:val="clear" w:color="auto" w:fill="auto"/>
            <w:noWrap/>
            <w:vAlign w:val="bottom"/>
          </w:tcPr>
          <w:p w14:paraId="5319369B">
            <w:pPr>
              <w:spacing w:after="0" w:line="240" w:lineRule="auto"/>
              <w:rPr>
                <w:rFonts w:eastAsia="Times New Roman" w:cs="Calibri"/>
                <w:b/>
                <w:bCs/>
                <w:color w:val="000000"/>
                <w:lang w:eastAsia="en-US"/>
              </w:rPr>
            </w:pPr>
            <w:r>
              <w:rPr>
                <w:rFonts w:eastAsia="Times New Roman" w:cs="Calibri"/>
                <w:b/>
                <w:bCs/>
                <w:color w:val="000000"/>
                <w:lang w:eastAsia="en-US"/>
              </w:rPr>
              <w:t>% Ulcer Inhibition</w:t>
            </w:r>
          </w:p>
        </w:tc>
      </w:tr>
      <w:tr w14:paraId="6C7A4D54">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7E4ECC80">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1</w:t>
            </w:r>
          </w:p>
        </w:tc>
        <w:tc>
          <w:tcPr>
            <w:tcW w:w="2721" w:type="dxa"/>
            <w:tcBorders>
              <w:top w:val="nil"/>
              <w:left w:val="nil"/>
              <w:bottom w:val="single" w:color="auto" w:sz="4" w:space="0"/>
              <w:right w:val="single" w:color="auto" w:sz="4" w:space="0"/>
            </w:tcBorders>
            <w:shd w:val="clear" w:color="auto" w:fill="auto"/>
            <w:vAlign w:val="center"/>
          </w:tcPr>
          <w:p w14:paraId="17FC686E">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10ml/kg distilled water</w:t>
            </w:r>
          </w:p>
        </w:tc>
        <w:tc>
          <w:tcPr>
            <w:tcW w:w="1699" w:type="dxa"/>
            <w:tcBorders>
              <w:top w:val="nil"/>
              <w:left w:val="nil"/>
              <w:bottom w:val="single" w:color="auto" w:sz="4" w:space="0"/>
              <w:right w:val="single" w:color="auto" w:sz="4" w:space="0"/>
            </w:tcBorders>
            <w:shd w:val="clear" w:color="auto" w:fill="auto"/>
            <w:vAlign w:val="center"/>
          </w:tcPr>
          <w:p w14:paraId="193AB40F">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11.3</w:t>
            </w:r>
            <w:r>
              <w:rPr>
                <w:rFonts w:eastAsia="Times New Roman" w:cs="Calibri"/>
                <w:color w:val="000000"/>
                <w:lang w:eastAsia="en-US"/>
              </w:rPr>
              <w:t>±0.88</w:t>
            </w:r>
          </w:p>
        </w:tc>
        <w:tc>
          <w:tcPr>
            <w:tcW w:w="1660" w:type="dxa"/>
            <w:tcBorders>
              <w:top w:val="nil"/>
              <w:left w:val="nil"/>
              <w:bottom w:val="single" w:color="auto" w:sz="4" w:space="0"/>
              <w:right w:val="single" w:color="auto" w:sz="4" w:space="0"/>
            </w:tcBorders>
            <w:shd w:val="clear" w:color="auto" w:fill="auto"/>
            <w:vAlign w:val="center"/>
          </w:tcPr>
          <w:p w14:paraId="01A2CE4C">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13.7±0.26</w:t>
            </w:r>
          </w:p>
        </w:tc>
        <w:tc>
          <w:tcPr>
            <w:tcW w:w="1800" w:type="dxa"/>
            <w:tcBorders>
              <w:top w:val="nil"/>
              <w:left w:val="nil"/>
              <w:bottom w:val="single" w:color="auto" w:sz="4" w:space="0"/>
              <w:right w:val="single" w:color="auto" w:sz="4" w:space="0"/>
            </w:tcBorders>
            <w:shd w:val="clear" w:color="auto" w:fill="auto"/>
            <w:noWrap/>
            <w:vAlign w:val="bottom"/>
          </w:tcPr>
          <w:p w14:paraId="0E41B843">
            <w:pPr>
              <w:spacing w:after="0" w:line="240" w:lineRule="auto"/>
              <w:rPr>
                <w:rFonts w:eastAsia="Times New Roman" w:cs="Calibri"/>
                <w:color w:val="000000"/>
                <w:lang w:eastAsia="en-US"/>
              </w:rPr>
            </w:pPr>
            <w:r>
              <w:rPr>
                <w:rFonts w:eastAsia="Times New Roman" w:cs="Calibri"/>
                <w:color w:val="000000"/>
                <w:lang w:eastAsia="en-US"/>
              </w:rPr>
              <w:t> </w:t>
            </w:r>
          </w:p>
        </w:tc>
      </w:tr>
      <w:tr w14:paraId="332D9FEF">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D3D9BB3">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2</w:t>
            </w:r>
          </w:p>
        </w:tc>
        <w:tc>
          <w:tcPr>
            <w:tcW w:w="2721" w:type="dxa"/>
            <w:tcBorders>
              <w:top w:val="nil"/>
              <w:left w:val="nil"/>
              <w:bottom w:val="single" w:color="auto" w:sz="4" w:space="0"/>
              <w:right w:val="single" w:color="auto" w:sz="4" w:space="0"/>
            </w:tcBorders>
            <w:shd w:val="clear" w:color="auto" w:fill="auto"/>
            <w:vAlign w:val="center"/>
          </w:tcPr>
          <w:p w14:paraId="22AE74AE">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20mg/kg omeprazole</w:t>
            </w:r>
          </w:p>
        </w:tc>
        <w:tc>
          <w:tcPr>
            <w:tcW w:w="1699" w:type="dxa"/>
            <w:tcBorders>
              <w:top w:val="nil"/>
              <w:left w:val="nil"/>
              <w:bottom w:val="single" w:color="auto" w:sz="4" w:space="0"/>
              <w:right w:val="single" w:color="auto" w:sz="4" w:space="0"/>
            </w:tcBorders>
            <w:shd w:val="clear" w:color="auto" w:fill="auto"/>
            <w:vAlign w:val="center"/>
          </w:tcPr>
          <w:p w14:paraId="35DF2C6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1.33±0.06</w:t>
            </w:r>
          </w:p>
        </w:tc>
        <w:tc>
          <w:tcPr>
            <w:tcW w:w="1660" w:type="dxa"/>
            <w:tcBorders>
              <w:top w:val="nil"/>
              <w:left w:val="nil"/>
              <w:bottom w:val="single" w:color="auto" w:sz="4" w:space="0"/>
              <w:right w:val="single" w:color="auto" w:sz="4" w:space="0"/>
            </w:tcBorders>
            <w:shd w:val="clear" w:color="auto" w:fill="auto"/>
            <w:vAlign w:val="center"/>
          </w:tcPr>
          <w:p w14:paraId="6265364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8.42±0.16</w:t>
            </w:r>
          </w:p>
        </w:tc>
        <w:tc>
          <w:tcPr>
            <w:tcW w:w="1800" w:type="dxa"/>
            <w:tcBorders>
              <w:top w:val="nil"/>
              <w:left w:val="nil"/>
              <w:bottom w:val="single" w:color="auto" w:sz="4" w:space="0"/>
              <w:right w:val="single" w:color="auto" w:sz="4" w:space="0"/>
            </w:tcBorders>
            <w:shd w:val="clear" w:color="auto" w:fill="auto"/>
            <w:noWrap/>
            <w:vAlign w:val="bottom"/>
          </w:tcPr>
          <w:p w14:paraId="3DF934ED">
            <w:pPr>
              <w:spacing w:after="0" w:line="240" w:lineRule="auto"/>
              <w:jc w:val="right"/>
              <w:rPr>
                <w:rFonts w:eastAsia="Times New Roman" w:cs="Calibri"/>
                <w:color w:val="000000"/>
                <w:lang w:eastAsia="en-US"/>
              </w:rPr>
            </w:pPr>
            <w:r>
              <w:rPr>
                <w:rFonts w:eastAsia="Times New Roman" w:cs="Calibri"/>
                <w:color w:val="000000"/>
                <w:lang w:eastAsia="en-US"/>
              </w:rPr>
              <w:t>88.23</w:t>
            </w:r>
          </w:p>
        </w:tc>
      </w:tr>
      <w:tr w14:paraId="3C020289">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9868A0F">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3</w:t>
            </w:r>
          </w:p>
        </w:tc>
        <w:tc>
          <w:tcPr>
            <w:tcW w:w="2721" w:type="dxa"/>
            <w:tcBorders>
              <w:top w:val="nil"/>
              <w:left w:val="nil"/>
              <w:bottom w:val="single" w:color="auto" w:sz="4" w:space="0"/>
              <w:right w:val="single" w:color="auto" w:sz="4" w:space="0"/>
            </w:tcBorders>
            <w:shd w:val="clear" w:color="auto" w:fill="auto"/>
            <w:vAlign w:val="center"/>
          </w:tcPr>
          <w:p w14:paraId="2EA0AC2F">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250mg/kg crude extract</w:t>
            </w:r>
          </w:p>
        </w:tc>
        <w:tc>
          <w:tcPr>
            <w:tcW w:w="1699" w:type="dxa"/>
            <w:tcBorders>
              <w:top w:val="nil"/>
              <w:left w:val="nil"/>
              <w:bottom w:val="single" w:color="auto" w:sz="4" w:space="0"/>
              <w:right w:val="single" w:color="auto" w:sz="4" w:space="0"/>
            </w:tcBorders>
            <w:shd w:val="clear" w:color="auto" w:fill="auto"/>
            <w:vAlign w:val="center"/>
          </w:tcPr>
          <w:p w14:paraId="3861D12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3.33±1.45</w:t>
            </w:r>
          </w:p>
        </w:tc>
        <w:tc>
          <w:tcPr>
            <w:tcW w:w="1660" w:type="dxa"/>
            <w:tcBorders>
              <w:top w:val="nil"/>
              <w:left w:val="nil"/>
              <w:bottom w:val="single" w:color="auto" w:sz="4" w:space="0"/>
              <w:right w:val="single" w:color="auto" w:sz="4" w:space="0"/>
            </w:tcBorders>
            <w:shd w:val="clear" w:color="auto" w:fill="auto"/>
            <w:vAlign w:val="center"/>
          </w:tcPr>
          <w:p w14:paraId="1A989471">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10.4±0.16</w:t>
            </w:r>
          </w:p>
        </w:tc>
        <w:tc>
          <w:tcPr>
            <w:tcW w:w="1800" w:type="dxa"/>
            <w:tcBorders>
              <w:top w:val="nil"/>
              <w:left w:val="nil"/>
              <w:bottom w:val="single" w:color="auto" w:sz="4" w:space="0"/>
              <w:right w:val="single" w:color="auto" w:sz="4" w:space="0"/>
            </w:tcBorders>
            <w:shd w:val="clear" w:color="auto" w:fill="auto"/>
            <w:noWrap/>
            <w:vAlign w:val="bottom"/>
          </w:tcPr>
          <w:p w14:paraId="341D52C8">
            <w:pPr>
              <w:spacing w:after="0" w:line="240" w:lineRule="auto"/>
              <w:jc w:val="right"/>
              <w:rPr>
                <w:rFonts w:eastAsia="Times New Roman" w:cs="Calibri"/>
                <w:color w:val="000000"/>
                <w:lang w:eastAsia="en-US"/>
              </w:rPr>
            </w:pPr>
            <w:r>
              <w:rPr>
                <w:rFonts w:eastAsia="Times New Roman" w:cs="Calibri"/>
                <w:color w:val="000000"/>
                <w:lang w:eastAsia="en-US"/>
              </w:rPr>
              <w:t>70.53</w:t>
            </w:r>
          </w:p>
        </w:tc>
      </w:tr>
      <w:tr w14:paraId="1C97AC52">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67426967">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4</w:t>
            </w:r>
          </w:p>
        </w:tc>
        <w:tc>
          <w:tcPr>
            <w:tcW w:w="2721" w:type="dxa"/>
            <w:tcBorders>
              <w:top w:val="nil"/>
              <w:left w:val="nil"/>
              <w:bottom w:val="single" w:color="auto" w:sz="4" w:space="0"/>
              <w:right w:val="single" w:color="auto" w:sz="4" w:space="0"/>
            </w:tcBorders>
            <w:shd w:val="clear" w:color="auto" w:fill="auto"/>
            <w:vAlign w:val="center"/>
          </w:tcPr>
          <w:p w14:paraId="04148B4E">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crude extract</w:t>
            </w:r>
          </w:p>
        </w:tc>
        <w:tc>
          <w:tcPr>
            <w:tcW w:w="1699" w:type="dxa"/>
            <w:tcBorders>
              <w:top w:val="nil"/>
              <w:left w:val="nil"/>
              <w:bottom w:val="single" w:color="auto" w:sz="4" w:space="0"/>
              <w:right w:val="single" w:color="auto" w:sz="4" w:space="0"/>
            </w:tcBorders>
            <w:shd w:val="clear" w:color="auto" w:fill="auto"/>
            <w:vAlign w:val="center"/>
          </w:tcPr>
          <w:p w14:paraId="03D69EE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1.33±0.33</w:t>
            </w:r>
          </w:p>
        </w:tc>
        <w:tc>
          <w:tcPr>
            <w:tcW w:w="1660" w:type="dxa"/>
            <w:tcBorders>
              <w:top w:val="nil"/>
              <w:left w:val="nil"/>
              <w:bottom w:val="single" w:color="auto" w:sz="4" w:space="0"/>
              <w:right w:val="single" w:color="auto" w:sz="4" w:space="0"/>
            </w:tcBorders>
            <w:shd w:val="clear" w:color="auto" w:fill="auto"/>
            <w:vAlign w:val="center"/>
          </w:tcPr>
          <w:p w14:paraId="06A5B0B8">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10.2±0.03</w:t>
            </w:r>
          </w:p>
        </w:tc>
        <w:tc>
          <w:tcPr>
            <w:tcW w:w="1800" w:type="dxa"/>
            <w:tcBorders>
              <w:top w:val="nil"/>
              <w:left w:val="nil"/>
              <w:bottom w:val="single" w:color="auto" w:sz="4" w:space="0"/>
              <w:right w:val="single" w:color="auto" w:sz="4" w:space="0"/>
            </w:tcBorders>
            <w:shd w:val="clear" w:color="auto" w:fill="auto"/>
            <w:noWrap/>
            <w:vAlign w:val="bottom"/>
          </w:tcPr>
          <w:p w14:paraId="1C36E319">
            <w:pPr>
              <w:spacing w:after="0" w:line="240" w:lineRule="auto"/>
              <w:jc w:val="right"/>
              <w:rPr>
                <w:rFonts w:eastAsia="Times New Roman" w:cs="Calibri"/>
                <w:color w:val="000000"/>
                <w:lang w:eastAsia="en-US"/>
              </w:rPr>
            </w:pPr>
            <w:r>
              <w:rPr>
                <w:rFonts w:eastAsia="Times New Roman" w:cs="Calibri"/>
                <w:color w:val="000000"/>
                <w:lang w:eastAsia="en-US"/>
              </w:rPr>
              <w:t>88.23</w:t>
            </w:r>
          </w:p>
        </w:tc>
      </w:tr>
      <w:tr w14:paraId="0B282423">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98917A8">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5</w:t>
            </w:r>
          </w:p>
        </w:tc>
        <w:tc>
          <w:tcPr>
            <w:tcW w:w="2721" w:type="dxa"/>
            <w:tcBorders>
              <w:top w:val="nil"/>
              <w:left w:val="nil"/>
              <w:bottom w:val="single" w:color="auto" w:sz="4" w:space="0"/>
              <w:right w:val="single" w:color="auto" w:sz="4" w:space="0"/>
            </w:tcBorders>
            <w:shd w:val="clear" w:color="auto" w:fill="auto"/>
            <w:vAlign w:val="center"/>
          </w:tcPr>
          <w:p w14:paraId="5C86C8C3">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250mg/kg N-hexane</w:t>
            </w:r>
          </w:p>
        </w:tc>
        <w:tc>
          <w:tcPr>
            <w:tcW w:w="1699" w:type="dxa"/>
            <w:tcBorders>
              <w:top w:val="nil"/>
              <w:left w:val="nil"/>
              <w:bottom w:val="single" w:color="auto" w:sz="4" w:space="0"/>
              <w:right w:val="single" w:color="auto" w:sz="4" w:space="0"/>
            </w:tcBorders>
            <w:shd w:val="clear" w:color="auto" w:fill="auto"/>
            <w:vAlign w:val="center"/>
          </w:tcPr>
          <w:p w14:paraId="57E6AE35">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11±0.66</w:t>
            </w:r>
          </w:p>
        </w:tc>
        <w:tc>
          <w:tcPr>
            <w:tcW w:w="1660" w:type="dxa"/>
            <w:tcBorders>
              <w:top w:val="nil"/>
              <w:left w:val="nil"/>
              <w:bottom w:val="single" w:color="auto" w:sz="4" w:space="0"/>
              <w:right w:val="single" w:color="auto" w:sz="4" w:space="0"/>
            </w:tcBorders>
            <w:shd w:val="clear" w:color="auto" w:fill="auto"/>
            <w:vAlign w:val="center"/>
          </w:tcPr>
          <w:p w14:paraId="710B5F25">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12.5±0.62</w:t>
            </w:r>
          </w:p>
        </w:tc>
        <w:tc>
          <w:tcPr>
            <w:tcW w:w="1800" w:type="dxa"/>
            <w:tcBorders>
              <w:top w:val="nil"/>
              <w:left w:val="nil"/>
              <w:bottom w:val="single" w:color="auto" w:sz="4" w:space="0"/>
              <w:right w:val="single" w:color="auto" w:sz="4" w:space="0"/>
            </w:tcBorders>
            <w:shd w:val="clear" w:color="auto" w:fill="auto"/>
            <w:noWrap/>
            <w:vAlign w:val="bottom"/>
          </w:tcPr>
          <w:p w14:paraId="63E25B62">
            <w:pPr>
              <w:spacing w:after="0" w:line="240" w:lineRule="auto"/>
              <w:jc w:val="right"/>
              <w:rPr>
                <w:rFonts w:eastAsia="Times New Roman" w:cs="Calibri"/>
                <w:color w:val="000000"/>
                <w:lang w:eastAsia="en-US"/>
              </w:rPr>
            </w:pPr>
            <w:r>
              <w:rPr>
                <w:rFonts w:eastAsia="Times New Roman" w:cs="Calibri"/>
                <w:color w:val="000000"/>
                <w:lang w:eastAsia="en-US"/>
              </w:rPr>
              <w:t>2.65</w:t>
            </w:r>
          </w:p>
        </w:tc>
      </w:tr>
      <w:tr w14:paraId="02336C9C">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2B1B50C">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6</w:t>
            </w:r>
          </w:p>
        </w:tc>
        <w:tc>
          <w:tcPr>
            <w:tcW w:w="2721" w:type="dxa"/>
            <w:tcBorders>
              <w:top w:val="nil"/>
              <w:left w:val="nil"/>
              <w:bottom w:val="single" w:color="auto" w:sz="4" w:space="0"/>
              <w:right w:val="single" w:color="auto" w:sz="4" w:space="0"/>
            </w:tcBorders>
            <w:shd w:val="clear" w:color="auto" w:fill="auto"/>
            <w:vAlign w:val="center"/>
          </w:tcPr>
          <w:p w14:paraId="729ADE1B">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N-hexane</w:t>
            </w:r>
          </w:p>
        </w:tc>
        <w:tc>
          <w:tcPr>
            <w:tcW w:w="1699" w:type="dxa"/>
            <w:tcBorders>
              <w:top w:val="nil"/>
              <w:left w:val="nil"/>
              <w:bottom w:val="single" w:color="auto" w:sz="4" w:space="0"/>
              <w:right w:val="single" w:color="auto" w:sz="4" w:space="0"/>
            </w:tcBorders>
            <w:shd w:val="clear" w:color="auto" w:fill="auto"/>
            <w:vAlign w:val="center"/>
          </w:tcPr>
          <w:p w14:paraId="799FACC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9.66±0.42</w:t>
            </w:r>
          </w:p>
        </w:tc>
        <w:tc>
          <w:tcPr>
            <w:tcW w:w="1660" w:type="dxa"/>
            <w:tcBorders>
              <w:top w:val="nil"/>
              <w:left w:val="nil"/>
              <w:bottom w:val="single" w:color="auto" w:sz="4" w:space="0"/>
              <w:right w:val="single" w:color="auto" w:sz="4" w:space="0"/>
            </w:tcBorders>
            <w:shd w:val="clear" w:color="auto" w:fill="auto"/>
            <w:vAlign w:val="center"/>
          </w:tcPr>
          <w:p w14:paraId="0E7BCD6B">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12.01±0.47</w:t>
            </w:r>
          </w:p>
        </w:tc>
        <w:tc>
          <w:tcPr>
            <w:tcW w:w="1800" w:type="dxa"/>
            <w:tcBorders>
              <w:top w:val="nil"/>
              <w:left w:val="nil"/>
              <w:bottom w:val="single" w:color="auto" w:sz="4" w:space="0"/>
              <w:right w:val="single" w:color="auto" w:sz="4" w:space="0"/>
            </w:tcBorders>
            <w:shd w:val="clear" w:color="auto" w:fill="auto"/>
            <w:noWrap/>
            <w:vAlign w:val="bottom"/>
          </w:tcPr>
          <w:p w14:paraId="7CC47043">
            <w:pPr>
              <w:spacing w:after="0" w:line="240" w:lineRule="auto"/>
              <w:jc w:val="right"/>
              <w:rPr>
                <w:rFonts w:eastAsia="Times New Roman" w:cs="Calibri"/>
                <w:color w:val="000000"/>
                <w:lang w:eastAsia="en-US"/>
              </w:rPr>
            </w:pPr>
            <w:r>
              <w:rPr>
                <w:rFonts w:eastAsia="Times New Roman" w:cs="Calibri"/>
                <w:color w:val="000000"/>
                <w:lang w:eastAsia="en-US"/>
              </w:rPr>
              <w:t>14.51</w:t>
            </w:r>
          </w:p>
        </w:tc>
      </w:tr>
      <w:tr w14:paraId="38C3CB14">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8CD3966">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7</w:t>
            </w:r>
          </w:p>
        </w:tc>
        <w:tc>
          <w:tcPr>
            <w:tcW w:w="2721" w:type="dxa"/>
            <w:tcBorders>
              <w:top w:val="nil"/>
              <w:left w:val="nil"/>
              <w:bottom w:val="single" w:color="auto" w:sz="4" w:space="0"/>
              <w:right w:val="single" w:color="auto" w:sz="4" w:space="0"/>
            </w:tcBorders>
            <w:shd w:val="clear" w:color="auto" w:fill="auto"/>
            <w:vAlign w:val="center"/>
          </w:tcPr>
          <w:p w14:paraId="447CE61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 mg/kg ethyl acetate</w:t>
            </w:r>
          </w:p>
        </w:tc>
        <w:tc>
          <w:tcPr>
            <w:tcW w:w="1699" w:type="dxa"/>
            <w:tcBorders>
              <w:top w:val="nil"/>
              <w:left w:val="nil"/>
              <w:bottom w:val="single" w:color="auto" w:sz="4" w:space="0"/>
              <w:right w:val="single" w:color="auto" w:sz="4" w:space="0"/>
            </w:tcBorders>
            <w:shd w:val="clear" w:color="auto" w:fill="auto"/>
            <w:vAlign w:val="center"/>
          </w:tcPr>
          <w:p w14:paraId="3FC5BB5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9±0.48</w:t>
            </w:r>
          </w:p>
        </w:tc>
        <w:tc>
          <w:tcPr>
            <w:tcW w:w="1660" w:type="dxa"/>
            <w:tcBorders>
              <w:top w:val="nil"/>
              <w:left w:val="nil"/>
              <w:bottom w:val="single" w:color="auto" w:sz="4" w:space="0"/>
              <w:right w:val="single" w:color="auto" w:sz="4" w:space="0"/>
            </w:tcBorders>
            <w:shd w:val="clear" w:color="auto" w:fill="auto"/>
            <w:vAlign w:val="center"/>
          </w:tcPr>
          <w:p w14:paraId="5385EE30">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11.2±0.73</w:t>
            </w:r>
          </w:p>
        </w:tc>
        <w:tc>
          <w:tcPr>
            <w:tcW w:w="1800" w:type="dxa"/>
            <w:tcBorders>
              <w:top w:val="nil"/>
              <w:left w:val="nil"/>
              <w:bottom w:val="single" w:color="auto" w:sz="4" w:space="0"/>
              <w:right w:val="single" w:color="auto" w:sz="4" w:space="0"/>
            </w:tcBorders>
            <w:shd w:val="clear" w:color="auto" w:fill="auto"/>
            <w:noWrap/>
            <w:vAlign w:val="bottom"/>
          </w:tcPr>
          <w:p w14:paraId="44A50FD5">
            <w:pPr>
              <w:spacing w:after="0" w:line="240" w:lineRule="auto"/>
              <w:jc w:val="right"/>
              <w:rPr>
                <w:rFonts w:eastAsia="Times New Roman" w:cs="Calibri"/>
                <w:color w:val="000000"/>
                <w:lang w:eastAsia="en-US"/>
              </w:rPr>
            </w:pPr>
            <w:r>
              <w:rPr>
                <w:rFonts w:eastAsia="Times New Roman" w:cs="Calibri"/>
                <w:color w:val="000000"/>
                <w:lang w:eastAsia="en-US"/>
              </w:rPr>
              <w:t>20.35</w:t>
            </w:r>
          </w:p>
        </w:tc>
      </w:tr>
      <w:tr w14:paraId="4D5319B2">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5CFDB6B7">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8</w:t>
            </w:r>
          </w:p>
        </w:tc>
        <w:tc>
          <w:tcPr>
            <w:tcW w:w="2721" w:type="dxa"/>
            <w:tcBorders>
              <w:top w:val="nil"/>
              <w:left w:val="nil"/>
              <w:bottom w:val="single" w:color="auto" w:sz="4" w:space="0"/>
              <w:right w:val="single" w:color="auto" w:sz="4" w:space="0"/>
            </w:tcBorders>
            <w:shd w:val="clear" w:color="auto" w:fill="auto"/>
            <w:vAlign w:val="center"/>
          </w:tcPr>
          <w:p w14:paraId="0C3BC6B5">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ethyl acetate</w:t>
            </w:r>
          </w:p>
        </w:tc>
        <w:tc>
          <w:tcPr>
            <w:tcW w:w="1699" w:type="dxa"/>
            <w:tcBorders>
              <w:top w:val="nil"/>
              <w:left w:val="nil"/>
              <w:bottom w:val="single" w:color="auto" w:sz="4" w:space="0"/>
              <w:right w:val="single" w:color="auto" w:sz="4" w:space="0"/>
            </w:tcBorders>
            <w:shd w:val="clear" w:color="auto" w:fill="auto"/>
            <w:vAlign w:val="center"/>
          </w:tcPr>
          <w:p w14:paraId="2F85D414">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7.1±0.52</w:t>
            </w:r>
          </w:p>
        </w:tc>
        <w:tc>
          <w:tcPr>
            <w:tcW w:w="1660" w:type="dxa"/>
            <w:tcBorders>
              <w:top w:val="nil"/>
              <w:left w:val="nil"/>
              <w:bottom w:val="single" w:color="auto" w:sz="4" w:space="0"/>
              <w:right w:val="single" w:color="auto" w:sz="4" w:space="0"/>
            </w:tcBorders>
            <w:shd w:val="clear" w:color="auto" w:fill="auto"/>
            <w:vAlign w:val="center"/>
          </w:tcPr>
          <w:p w14:paraId="0A450389">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10.8±0.62</w:t>
            </w:r>
          </w:p>
        </w:tc>
        <w:tc>
          <w:tcPr>
            <w:tcW w:w="1800" w:type="dxa"/>
            <w:tcBorders>
              <w:top w:val="nil"/>
              <w:left w:val="nil"/>
              <w:bottom w:val="single" w:color="auto" w:sz="4" w:space="0"/>
              <w:right w:val="single" w:color="auto" w:sz="4" w:space="0"/>
            </w:tcBorders>
            <w:shd w:val="clear" w:color="auto" w:fill="auto"/>
            <w:noWrap/>
            <w:vAlign w:val="bottom"/>
          </w:tcPr>
          <w:p w14:paraId="543E0142">
            <w:pPr>
              <w:spacing w:after="0" w:line="240" w:lineRule="auto"/>
              <w:jc w:val="right"/>
              <w:rPr>
                <w:rFonts w:eastAsia="Times New Roman" w:cs="Calibri"/>
                <w:color w:val="000000"/>
                <w:lang w:eastAsia="en-US"/>
              </w:rPr>
            </w:pPr>
            <w:r>
              <w:rPr>
                <w:rFonts w:eastAsia="Times New Roman" w:cs="Calibri"/>
                <w:color w:val="000000"/>
                <w:lang w:eastAsia="en-US"/>
              </w:rPr>
              <w:t>37.17</w:t>
            </w:r>
          </w:p>
        </w:tc>
      </w:tr>
      <w:tr w14:paraId="0555AA7E">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3DA7467">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9</w:t>
            </w:r>
          </w:p>
        </w:tc>
        <w:tc>
          <w:tcPr>
            <w:tcW w:w="2721" w:type="dxa"/>
            <w:tcBorders>
              <w:top w:val="nil"/>
              <w:left w:val="nil"/>
              <w:bottom w:val="single" w:color="auto" w:sz="4" w:space="0"/>
              <w:right w:val="single" w:color="auto" w:sz="4" w:space="0"/>
            </w:tcBorders>
            <w:shd w:val="clear" w:color="auto" w:fill="auto"/>
            <w:vAlign w:val="center"/>
          </w:tcPr>
          <w:p w14:paraId="66BCD616">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250mg/kg butanol</w:t>
            </w:r>
          </w:p>
        </w:tc>
        <w:tc>
          <w:tcPr>
            <w:tcW w:w="1699" w:type="dxa"/>
            <w:tcBorders>
              <w:top w:val="nil"/>
              <w:left w:val="nil"/>
              <w:bottom w:val="single" w:color="auto" w:sz="4" w:space="0"/>
              <w:right w:val="single" w:color="auto" w:sz="4" w:space="0"/>
            </w:tcBorders>
            <w:shd w:val="clear" w:color="auto" w:fill="auto"/>
            <w:vAlign w:val="center"/>
          </w:tcPr>
          <w:p w14:paraId="08633936">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2.33±0.33</w:t>
            </w:r>
          </w:p>
        </w:tc>
        <w:tc>
          <w:tcPr>
            <w:tcW w:w="1660" w:type="dxa"/>
            <w:tcBorders>
              <w:top w:val="nil"/>
              <w:left w:val="nil"/>
              <w:bottom w:val="single" w:color="auto" w:sz="4" w:space="0"/>
              <w:right w:val="single" w:color="auto" w:sz="4" w:space="0"/>
            </w:tcBorders>
            <w:shd w:val="clear" w:color="auto" w:fill="auto"/>
            <w:vAlign w:val="center"/>
          </w:tcPr>
          <w:p w14:paraId="305B9DB3">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9.54±0.26</w:t>
            </w:r>
          </w:p>
        </w:tc>
        <w:tc>
          <w:tcPr>
            <w:tcW w:w="1800" w:type="dxa"/>
            <w:tcBorders>
              <w:top w:val="nil"/>
              <w:left w:val="nil"/>
              <w:bottom w:val="single" w:color="auto" w:sz="4" w:space="0"/>
              <w:right w:val="single" w:color="auto" w:sz="4" w:space="0"/>
            </w:tcBorders>
            <w:shd w:val="clear" w:color="auto" w:fill="auto"/>
            <w:noWrap/>
            <w:vAlign w:val="bottom"/>
          </w:tcPr>
          <w:p w14:paraId="0C0CD010">
            <w:pPr>
              <w:spacing w:after="0" w:line="240" w:lineRule="auto"/>
              <w:jc w:val="right"/>
              <w:rPr>
                <w:rFonts w:eastAsia="Times New Roman" w:cs="Calibri"/>
                <w:color w:val="000000"/>
                <w:lang w:eastAsia="en-US"/>
              </w:rPr>
            </w:pPr>
            <w:r>
              <w:rPr>
                <w:rFonts w:eastAsia="Times New Roman" w:cs="Calibri"/>
                <w:color w:val="000000"/>
                <w:lang w:eastAsia="en-US"/>
              </w:rPr>
              <w:t>79.38</w:t>
            </w:r>
          </w:p>
        </w:tc>
      </w:tr>
      <w:tr w14:paraId="3AB053BA">
        <w:tblPrEx>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3FB0C81">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10</w:t>
            </w:r>
          </w:p>
        </w:tc>
        <w:tc>
          <w:tcPr>
            <w:tcW w:w="2721" w:type="dxa"/>
            <w:tcBorders>
              <w:top w:val="nil"/>
              <w:left w:val="nil"/>
              <w:bottom w:val="single" w:color="auto" w:sz="4" w:space="0"/>
              <w:right w:val="single" w:color="auto" w:sz="4" w:space="0"/>
            </w:tcBorders>
            <w:shd w:val="clear" w:color="auto" w:fill="auto"/>
            <w:vAlign w:val="center"/>
          </w:tcPr>
          <w:p w14:paraId="1890BD9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butanol</w:t>
            </w:r>
          </w:p>
        </w:tc>
        <w:tc>
          <w:tcPr>
            <w:tcW w:w="1699" w:type="dxa"/>
            <w:tcBorders>
              <w:top w:val="nil"/>
              <w:left w:val="nil"/>
              <w:bottom w:val="single" w:color="auto" w:sz="4" w:space="0"/>
              <w:right w:val="single" w:color="auto" w:sz="4" w:space="0"/>
            </w:tcBorders>
            <w:shd w:val="clear" w:color="auto" w:fill="auto"/>
            <w:vAlign w:val="center"/>
          </w:tcPr>
          <w:p w14:paraId="14C6FC10">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4±0.53</w:t>
            </w:r>
          </w:p>
        </w:tc>
        <w:tc>
          <w:tcPr>
            <w:tcW w:w="1660" w:type="dxa"/>
            <w:tcBorders>
              <w:top w:val="nil"/>
              <w:left w:val="nil"/>
              <w:bottom w:val="single" w:color="auto" w:sz="4" w:space="0"/>
              <w:right w:val="single" w:color="auto" w:sz="4" w:space="0"/>
            </w:tcBorders>
            <w:shd w:val="clear" w:color="auto" w:fill="auto"/>
            <w:vAlign w:val="center"/>
          </w:tcPr>
          <w:p w14:paraId="11EF55B0">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10.8±0.12</w:t>
            </w:r>
          </w:p>
        </w:tc>
        <w:tc>
          <w:tcPr>
            <w:tcW w:w="1800" w:type="dxa"/>
            <w:tcBorders>
              <w:top w:val="nil"/>
              <w:left w:val="nil"/>
              <w:bottom w:val="single" w:color="auto" w:sz="4" w:space="0"/>
              <w:right w:val="single" w:color="auto" w:sz="4" w:space="0"/>
            </w:tcBorders>
            <w:shd w:val="clear" w:color="auto" w:fill="auto"/>
            <w:noWrap/>
            <w:vAlign w:val="bottom"/>
          </w:tcPr>
          <w:p w14:paraId="09386727">
            <w:pPr>
              <w:spacing w:after="0" w:line="240" w:lineRule="auto"/>
              <w:jc w:val="right"/>
              <w:rPr>
                <w:rFonts w:eastAsia="Times New Roman" w:cs="Calibri"/>
                <w:color w:val="000000"/>
                <w:lang w:eastAsia="en-US"/>
              </w:rPr>
            </w:pPr>
            <w:r>
              <w:rPr>
                <w:rFonts w:eastAsia="Times New Roman" w:cs="Calibri"/>
                <w:color w:val="000000"/>
                <w:lang w:eastAsia="en-US"/>
              </w:rPr>
              <w:t>64.60</w:t>
            </w:r>
          </w:p>
        </w:tc>
      </w:tr>
    </w:tbl>
    <w:p w14:paraId="72936AE6">
      <w:pPr>
        <w:spacing w:line="240" w:lineRule="auto"/>
      </w:pPr>
    </w:p>
    <w:p w14:paraId="0BC1C69A">
      <w:pPr>
        <w:spacing w:line="240" w:lineRule="auto"/>
      </w:pPr>
      <w:r>
        <w:rPr>
          <w:lang w:eastAsia="en-US"/>
        </w:rPr>
        <w:drawing>
          <wp:inline distT="0" distB="0" distL="0" distR="0">
            <wp:extent cx="4572000" cy="2533650"/>
            <wp:effectExtent l="4445" t="4445" r="14605" b="146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6DB0F1">
      <w:pPr>
        <w:spacing w:line="240" w:lineRule="auto"/>
      </w:pPr>
      <w:r>
        <w:t xml:space="preserve">Fig 1: Bar chart showing number of ulcer against dose </w:t>
      </w:r>
    </w:p>
    <w:p w14:paraId="7D310A5D">
      <w:pPr>
        <w:spacing w:line="240" w:lineRule="auto"/>
      </w:pPr>
    </w:p>
    <w:p w14:paraId="717CB3A0">
      <w:pPr>
        <w:spacing w:line="240" w:lineRule="auto"/>
      </w:pPr>
      <w:r>
        <w:rPr>
          <w:lang w:eastAsia="en-US"/>
        </w:rPr>
        <w:drawing>
          <wp:inline distT="0" distB="0" distL="0" distR="0">
            <wp:extent cx="4572000" cy="2533650"/>
            <wp:effectExtent l="4445" t="4445" r="14605"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88DEA3">
      <w:pPr>
        <w:spacing w:line="240" w:lineRule="auto"/>
      </w:pPr>
      <w:r>
        <w:t xml:space="preserve">Fig 2: Bar chart of showing ulcer index against dose </w:t>
      </w:r>
    </w:p>
    <w:p w14:paraId="40259358">
      <w:pPr>
        <w:spacing w:line="240" w:lineRule="auto"/>
      </w:pPr>
    </w:p>
    <w:p w14:paraId="1FF954F2">
      <w:pPr>
        <w:spacing w:line="240" w:lineRule="auto"/>
      </w:pPr>
      <w:r>
        <w:rPr>
          <w:lang w:eastAsia="en-US"/>
        </w:rPr>
        <w:drawing>
          <wp:inline distT="0" distB="0" distL="0" distR="0">
            <wp:extent cx="4572000" cy="2543175"/>
            <wp:effectExtent l="4445" t="4445" r="14605" b="50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07FA6C">
      <w:pPr>
        <w:spacing w:line="240" w:lineRule="auto"/>
      </w:pPr>
      <w:r>
        <w:t xml:space="preserve">Fig 3: Bar chart showing percentage ulcer inhibition against dose </w:t>
      </w:r>
    </w:p>
    <w:p w14:paraId="0191CC7A">
      <w:pPr>
        <w:spacing w:line="240" w:lineRule="auto"/>
        <w:jc w:val="both"/>
        <w:rPr>
          <w:rFonts w:ascii="Times New Roman" w:hAnsi="Times New Roman"/>
          <w:sz w:val="24"/>
          <w:szCs w:val="24"/>
        </w:rPr>
      </w:pPr>
    </w:p>
    <w:p w14:paraId="713C4EC6">
      <w:pPr>
        <w:spacing w:line="240" w:lineRule="auto"/>
        <w:jc w:val="both"/>
        <w:rPr>
          <w:rFonts w:ascii="Times New Roman" w:hAnsi="Times New Roman"/>
          <w:sz w:val="24"/>
          <w:szCs w:val="24"/>
        </w:rPr>
      </w:pPr>
    </w:p>
    <w:p w14:paraId="24E2F396">
      <w:pPr>
        <w:spacing w:line="240" w:lineRule="auto"/>
        <w:jc w:val="both"/>
        <w:rPr>
          <w:rFonts w:ascii="Times New Roman" w:hAnsi="Times New Roman"/>
          <w:sz w:val="24"/>
          <w:szCs w:val="24"/>
        </w:rPr>
      </w:pPr>
    </w:p>
    <w:p w14:paraId="3F6685EB">
      <w:pPr>
        <w:spacing w:line="240" w:lineRule="auto"/>
        <w:jc w:val="both"/>
        <w:rPr>
          <w:rFonts w:ascii="Times New Roman" w:hAnsi="Times New Roman"/>
          <w:sz w:val="24"/>
          <w:szCs w:val="24"/>
        </w:rPr>
      </w:pPr>
    </w:p>
    <w:p w14:paraId="31FCDD97">
      <w:pPr>
        <w:spacing w:line="240" w:lineRule="auto"/>
        <w:jc w:val="both"/>
        <w:rPr>
          <w:rFonts w:ascii="Times New Roman" w:hAnsi="Times New Roman"/>
          <w:sz w:val="24"/>
          <w:szCs w:val="24"/>
        </w:rPr>
      </w:pPr>
    </w:p>
    <w:p w14:paraId="0F35BE85">
      <w:pPr>
        <w:spacing w:line="240" w:lineRule="auto"/>
        <w:jc w:val="both"/>
        <w:rPr>
          <w:rFonts w:ascii="Times New Roman" w:hAnsi="Times New Roman"/>
          <w:sz w:val="24"/>
          <w:szCs w:val="24"/>
        </w:rPr>
      </w:pPr>
    </w:p>
    <w:p w14:paraId="09C0A204">
      <w:pPr>
        <w:spacing w:line="240" w:lineRule="auto"/>
        <w:jc w:val="both"/>
        <w:rPr>
          <w:rFonts w:ascii="Times New Roman" w:hAnsi="Times New Roman"/>
          <w:sz w:val="24"/>
          <w:szCs w:val="24"/>
        </w:rPr>
      </w:pPr>
      <w:r>
        <w:rPr>
          <w:rFonts w:ascii="Times New Roman" w:hAnsi="Times New Roman"/>
          <w:sz w:val="24"/>
          <w:szCs w:val="24"/>
        </w:rPr>
        <w:t xml:space="preserve">Table 3:  The impact of </w:t>
      </w:r>
      <w:r>
        <w:rPr>
          <w:rFonts w:ascii="Times New Roman" w:hAnsi="Times New Roman"/>
          <w:i/>
          <w:sz w:val="24"/>
          <w:szCs w:val="24"/>
        </w:rPr>
        <w:t>Cleistopholis staudtii</w:t>
      </w:r>
      <w:r>
        <w:rPr>
          <w:rFonts w:ascii="Times New Roman" w:hAnsi="Times New Roman"/>
          <w:sz w:val="24"/>
          <w:szCs w:val="24"/>
        </w:rPr>
        <w:t xml:space="preserve"> crude extract and solvent fractions on gastric volume, pH, free acid and total acidity level in pyloric-ligated rats.</w:t>
      </w:r>
    </w:p>
    <w:tbl>
      <w:tblPr>
        <w:tblStyle w:val="7"/>
        <w:tblW w:w="9918" w:type="dxa"/>
        <w:tblInd w:w="0" w:type="dxa"/>
        <w:tblLayout w:type="autofit"/>
        <w:tblCellMar>
          <w:top w:w="0" w:type="dxa"/>
          <w:left w:w="108" w:type="dxa"/>
          <w:bottom w:w="0" w:type="dxa"/>
          <w:right w:w="108" w:type="dxa"/>
        </w:tblCellMar>
      </w:tblPr>
      <w:tblGrid>
        <w:gridCol w:w="846"/>
        <w:gridCol w:w="2551"/>
        <w:gridCol w:w="1560"/>
        <w:gridCol w:w="1559"/>
        <w:gridCol w:w="1701"/>
        <w:gridCol w:w="1701"/>
      </w:tblGrid>
      <w:tr w14:paraId="687514C8">
        <w:tblPrEx>
          <w:tblCellMar>
            <w:top w:w="0" w:type="dxa"/>
            <w:left w:w="108" w:type="dxa"/>
            <w:bottom w:w="0" w:type="dxa"/>
            <w:right w:w="108" w:type="dxa"/>
          </w:tblCellMar>
        </w:tblPrEx>
        <w:trPr>
          <w:trHeight w:val="315"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0C8EBEF">
            <w:pPr>
              <w:spacing w:after="0" w:line="240" w:lineRule="auto"/>
              <w:rPr>
                <w:rFonts w:ascii="Times New Roman" w:hAnsi="Times New Roman" w:eastAsia="Times New Roman"/>
                <w:b/>
                <w:bCs/>
                <w:color w:val="000000"/>
                <w:lang w:eastAsia="en-US"/>
              </w:rPr>
            </w:pPr>
            <w:r>
              <w:rPr>
                <w:rFonts w:ascii="Times New Roman" w:hAnsi="Times New Roman" w:eastAsia="Times New Roman"/>
                <w:b/>
                <w:bCs/>
                <w:color w:val="000000"/>
                <w:lang w:eastAsia="en-US"/>
              </w:rPr>
              <w:t>Group</w:t>
            </w:r>
          </w:p>
        </w:tc>
        <w:tc>
          <w:tcPr>
            <w:tcW w:w="2551" w:type="dxa"/>
            <w:tcBorders>
              <w:top w:val="single" w:color="auto" w:sz="4" w:space="0"/>
              <w:left w:val="nil"/>
              <w:bottom w:val="single" w:color="auto" w:sz="4" w:space="0"/>
              <w:right w:val="single" w:color="auto" w:sz="4" w:space="0"/>
            </w:tcBorders>
            <w:shd w:val="clear" w:color="auto" w:fill="auto"/>
            <w:vAlign w:val="center"/>
          </w:tcPr>
          <w:p w14:paraId="7A90BCB1">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Treatment</w:t>
            </w:r>
          </w:p>
        </w:tc>
        <w:tc>
          <w:tcPr>
            <w:tcW w:w="1560" w:type="dxa"/>
            <w:tcBorders>
              <w:top w:val="single" w:color="auto" w:sz="4" w:space="0"/>
              <w:left w:val="nil"/>
              <w:bottom w:val="single" w:color="auto" w:sz="4" w:space="0"/>
              <w:right w:val="single" w:color="auto" w:sz="4" w:space="0"/>
            </w:tcBorders>
            <w:shd w:val="clear" w:color="auto" w:fill="auto"/>
            <w:vAlign w:val="center"/>
          </w:tcPr>
          <w:p w14:paraId="39D733AC">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Gastric juice volume</w:t>
            </w:r>
          </w:p>
        </w:tc>
        <w:tc>
          <w:tcPr>
            <w:tcW w:w="1559" w:type="dxa"/>
            <w:tcBorders>
              <w:top w:val="single" w:color="auto" w:sz="4" w:space="0"/>
              <w:left w:val="nil"/>
              <w:bottom w:val="single" w:color="auto" w:sz="4" w:space="0"/>
              <w:right w:val="single" w:color="auto" w:sz="4" w:space="0"/>
            </w:tcBorders>
            <w:shd w:val="clear" w:color="auto" w:fill="auto"/>
            <w:vAlign w:val="center"/>
          </w:tcPr>
          <w:p w14:paraId="06990323">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Gastric PH</w:t>
            </w:r>
          </w:p>
        </w:tc>
        <w:tc>
          <w:tcPr>
            <w:tcW w:w="1701" w:type="dxa"/>
            <w:tcBorders>
              <w:top w:val="single" w:color="auto" w:sz="4" w:space="0"/>
              <w:left w:val="nil"/>
              <w:bottom w:val="single" w:color="auto" w:sz="4" w:space="0"/>
              <w:right w:val="single" w:color="auto" w:sz="4" w:space="0"/>
            </w:tcBorders>
            <w:shd w:val="clear" w:color="auto" w:fill="auto"/>
            <w:vAlign w:val="center"/>
          </w:tcPr>
          <w:p w14:paraId="1D2C4024">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Gastric juice free acid</w:t>
            </w:r>
          </w:p>
        </w:tc>
        <w:tc>
          <w:tcPr>
            <w:tcW w:w="1701" w:type="dxa"/>
            <w:tcBorders>
              <w:top w:val="single" w:color="auto" w:sz="4" w:space="0"/>
              <w:left w:val="nil"/>
              <w:bottom w:val="single" w:color="auto" w:sz="4" w:space="0"/>
              <w:right w:val="single" w:color="auto" w:sz="4" w:space="0"/>
            </w:tcBorders>
            <w:shd w:val="clear" w:color="auto" w:fill="auto"/>
            <w:vAlign w:val="center"/>
          </w:tcPr>
          <w:p w14:paraId="560479AA">
            <w:pPr>
              <w:spacing w:after="0" w:line="240" w:lineRule="auto"/>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Gastric juice total acid</w:t>
            </w:r>
          </w:p>
        </w:tc>
      </w:tr>
      <w:tr w14:paraId="09C5906F">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27B099B3">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1</w:t>
            </w:r>
          </w:p>
        </w:tc>
        <w:tc>
          <w:tcPr>
            <w:tcW w:w="2551" w:type="dxa"/>
            <w:tcBorders>
              <w:top w:val="nil"/>
              <w:left w:val="nil"/>
              <w:bottom w:val="single" w:color="auto" w:sz="4" w:space="0"/>
              <w:right w:val="single" w:color="auto" w:sz="4" w:space="0"/>
            </w:tcBorders>
            <w:shd w:val="clear" w:color="auto" w:fill="auto"/>
            <w:vAlign w:val="center"/>
          </w:tcPr>
          <w:p w14:paraId="13CC404E">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10ml/kg distilled water</w:t>
            </w:r>
          </w:p>
        </w:tc>
        <w:tc>
          <w:tcPr>
            <w:tcW w:w="1560" w:type="dxa"/>
            <w:tcBorders>
              <w:top w:val="nil"/>
              <w:left w:val="nil"/>
              <w:bottom w:val="single" w:color="auto" w:sz="4" w:space="0"/>
              <w:right w:val="single" w:color="auto" w:sz="4" w:space="0"/>
            </w:tcBorders>
            <w:shd w:val="clear" w:color="auto" w:fill="auto"/>
            <w:vAlign w:val="center"/>
          </w:tcPr>
          <w:p w14:paraId="305AAB89">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2.97±0.2</w:t>
            </w:r>
          </w:p>
        </w:tc>
        <w:tc>
          <w:tcPr>
            <w:tcW w:w="1559" w:type="dxa"/>
            <w:tcBorders>
              <w:top w:val="nil"/>
              <w:left w:val="nil"/>
              <w:bottom w:val="single" w:color="auto" w:sz="4" w:space="0"/>
              <w:right w:val="single" w:color="auto" w:sz="4" w:space="0"/>
            </w:tcBorders>
            <w:shd w:val="clear" w:color="auto" w:fill="auto"/>
            <w:vAlign w:val="center"/>
          </w:tcPr>
          <w:p w14:paraId="24A57BAE">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2.33±0.33</w:t>
            </w:r>
          </w:p>
        </w:tc>
        <w:tc>
          <w:tcPr>
            <w:tcW w:w="1701" w:type="dxa"/>
            <w:tcBorders>
              <w:top w:val="nil"/>
              <w:left w:val="nil"/>
              <w:bottom w:val="single" w:color="auto" w:sz="4" w:space="0"/>
              <w:right w:val="single" w:color="auto" w:sz="4" w:space="0"/>
            </w:tcBorders>
            <w:shd w:val="clear" w:color="auto" w:fill="auto"/>
            <w:vAlign w:val="center"/>
          </w:tcPr>
          <w:p w14:paraId="3CD908EC">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81.3±4.26</w:t>
            </w:r>
          </w:p>
        </w:tc>
        <w:tc>
          <w:tcPr>
            <w:tcW w:w="1701" w:type="dxa"/>
            <w:tcBorders>
              <w:top w:val="nil"/>
              <w:left w:val="nil"/>
              <w:bottom w:val="single" w:color="auto" w:sz="4" w:space="0"/>
              <w:right w:val="single" w:color="auto" w:sz="4" w:space="0"/>
            </w:tcBorders>
            <w:shd w:val="clear" w:color="auto" w:fill="auto"/>
            <w:vAlign w:val="center"/>
          </w:tcPr>
          <w:p w14:paraId="43433413">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286±6.69</w:t>
            </w:r>
          </w:p>
        </w:tc>
      </w:tr>
      <w:tr w14:paraId="3A81E50A">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28423273">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2</w:t>
            </w:r>
          </w:p>
        </w:tc>
        <w:tc>
          <w:tcPr>
            <w:tcW w:w="2551" w:type="dxa"/>
            <w:tcBorders>
              <w:top w:val="nil"/>
              <w:left w:val="nil"/>
              <w:bottom w:val="single" w:color="auto" w:sz="4" w:space="0"/>
              <w:right w:val="single" w:color="auto" w:sz="4" w:space="0"/>
            </w:tcBorders>
            <w:shd w:val="clear" w:color="auto" w:fill="auto"/>
            <w:vAlign w:val="center"/>
          </w:tcPr>
          <w:p w14:paraId="769D93A6">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20mg/kg omeprazole</w:t>
            </w:r>
          </w:p>
        </w:tc>
        <w:tc>
          <w:tcPr>
            <w:tcW w:w="1560" w:type="dxa"/>
            <w:tcBorders>
              <w:top w:val="nil"/>
              <w:left w:val="nil"/>
              <w:bottom w:val="single" w:color="auto" w:sz="4" w:space="0"/>
              <w:right w:val="single" w:color="auto" w:sz="4" w:space="0"/>
            </w:tcBorders>
            <w:shd w:val="clear" w:color="auto" w:fill="auto"/>
            <w:vAlign w:val="center"/>
          </w:tcPr>
          <w:p w14:paraId="25FA6E3A">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2.11±0.25</w:t>
            </w:r>
          </w:p>
        </w:tc>
        <w:tc>
          <w:tcPr>
            <w:tcW w:w="1559" w:type="dxa"/>
            <w:tcBorders>
              <w:top w:val="nil"/>
              <w:left w:val="nil"/>
              <w:bottom w:val="single" w:color="auto" w:sz="4" w:space="0"/>
              <w:right w:val="single" w:color="auto" w:sz="4" w:space="0"/>
            </w:tcBorders>
            <w:shd w:val="clear" w:color="auto" w:fill="auto"/>
            <w:vAlign w:val="center"/>
          </w:tcPr>
          <w:p w14:paraId="4544CD48">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4.56±0.42</w:t>
            </w:r>
          </w:p>
        </w:tc>
        <w:tc>
          <w:tcPr>
            <w:tcW w:w="1701" w:type="dxa"/>
            <w:tcBorders>
              <w:top w:val="nil"/>
              <w:left w:val="nil"/>
              <w:bottom w:val="single" w:color="auto" w:sz="4" w:space="0"/>
              <w:right w:val="single" w:color="auto" w:sz="4" w:space="0"/>
            </w:tcBorders>
            <w:shd w:val="clear" w:color="auto" w:fill="auto"/>
            <w:vAlign w:val="center"/>
          </w:tcPr>
          <w:p w14:paraId="6EDB7250">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43.6±5.22</w:t>
            </w:r>
          </w:p>
        </w:tc>
        <w:tc>
          <w:tcPr>
            <w:tcW w:w="1701" w:type="dxa"/>
            <w:tcBorders>
              <w:top w:val="nil"/>
              <w:left w:val="nil"/>
              <w:bottom w:val="single" w:color="auto" w:sz="4" w:space="0"/>
              <w:right w:val="single" w:color="auto" w:sz="4" w:space="0"/>
            </w:tcBorders>
            <w:shd w:val="clear" w:color="auto" w:fill="auto"/>
            <w:vAlign w:val="center"/>
          </w:tcPr>
          <w:p w14:paraId="02FE8E2B">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197±7.89</w:t>
            </w:r>
          </w:p>
        </w:tc>
      </w:tr>
      <w:tr w14:paraId="1D6AEBD3">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54A36407">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3</w:t>
            </w:r>
          </w:p>
        </w:tc>
        <w:tc>
          <w:tcPr>
            <w:tcW w:w="2551" w:type="dxa"/>
            <w:tcBorders>
              <w:top w:val="nil"/>
              <w:left w:val="nil"/>
              <w:bottom w:val="single" w:color="auto" w:sz="4" w:space="0"/>
              <w:right w:val="single" w:color="auto" w:sz="4" w:space="0"/>
            </w:tcBorders>
            <w:shd w:val="clear" w:color="auto" w:fill="auto"/>
            <w:vAlign w:val="center"/>
          </w:tcPr>
          <w:p w14:paraId="660F1039">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250mg/kg crude extract</w:t>
            </w:r>
          </w:p>
        </w:tc>
        <w:tc>
          <w:tcPr>
            <w:tcW w:w="1560" w:type="dxa"/>
            <w:tcBorders>
              <w:top w:val="nil"/>
              <w:left w:val="nil"/>
              <w:bottom w:val="single" w:color="auto" w:sz="4" w:space="0"/>
              <w:right w:val="single" w:color="auto" w:sz="4" w:space="0"/>
            </w:tcBorders>
            <w:shd w:val="clear" w:color="auto" w:fill="auto"/>
            <w:vAlign w:val="center"/>
          </w:tcPr>
          <w:p w14:paraId="5E4EF5A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2.77±0.62</w:t>
            </w:r>
          </w:p>
        </w:tc>
        <w:tc>
          <w:tcPr>
            <w:tcW w:w="1559" w:type="dxa"/>
            <w:tcBorders>
              <w:top w:val="nil"/>
              <w:left w:val="nil"/>
              <w:bottom w:val="single" w:color="auto" w:sz="4" w:space="0"/>
              <w:right w:val="single" w:color="auto" w:sz="4" w:space="0"/>
            </w:tcBorders>
            <w:shd w:val="clear" w:color="auto" w:fill="auto"/>
            <w:vAlign w:val="center"/>
          </w:tcPr>
          <w:p w14:paraId="341CE27B">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4±0.29</w:t>
            </w:r>
          </w:p>
        </w:tc>
        <w:tc>
          <w:tcPr>
            <w:tcW w:w="1701" w:type="dxa"/>
            <w:tcBorders>
              <w:top w:val="nil"/>
              <w:left w:val="nil"/>
              <w:bottom w:val="single" w:color="auto" w:sz="4" w:space="0"/>
              <w:right w:val="single" w:color="auto" w:sz="4" w:space="0"/>
            </w:tcBorders>
            <w:shd w:val="clear" w:color="auto" w:fill="auto"/>
            <w:vAlign w:val="center"/>
          </w:tcPr>
          <w:p w14:paraId="020E798B">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49.3±0.67</w:t>
            </w:r>
          </w:p>
        </w:tc>
        <w:tc>
          <w:tcPr>
            <w:tcW w:w="1701" w:type="dxa"/>
            <w:tcBorders>
              <w:top w:val="nil"/>
              <w:left w:val="nil"/>
              <w:bottom w:val="single" w:color="auto" w:sz="4" w:space="0"/>
              <w:right w:val="single" w:color="auto" w:sz="4" w:space="0"/>
            </w:tcBorders>
            <w:shd w:val="clear" w:color="auto" w:fill="auto"/>
            <w:vAlign w:val="center"/>
          </w:tcPr>
          <w:p w14:paraId="21CA9208">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180.0±9.87</w:t>
            </w:r>
          </w:p>
        </w:tc>
      </w:tr>
      <w:tr w14:paraId="5F0A159B">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775502C1">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4</w:t>
            </w:r>
          </w:p>
        </w:tc>
        <w:tc>
          <w:tcPr>
            <w:tcW w:w="2551" w:type="dxa"/>
            <w:tcBorders>
              <w:top w:val="nil"/>
              <w:left w:val="nil"/>
              <w:bottom w:val="single" w:color="auto" w:sz="4" w:space="0"/>
              <w:right w:val="single" w:color="auto" w:sz="4" w:space="0"/>
            </w:tcBorders>
            <w:shd w:val="clear" w:color="auto" w:fill="auto"/>
            <w:vAlign w:val="center"/>
          </w:tcPr>
          <w:p w14:paraId="1BE7BFC8">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crude extract</w:t>
            </w:r>
          </w:p>
        </w:tc>
        <w:tc>
          <w:tcPr>
            <w:tcW w:w="1560" w:type="dxa"/>
            <w:tcBorders>
              <w:top w:val="nil"/>
              <w:left w:val="nil"/>
              <w:bottom w:val="single" w:color="auto" w:sz="4" w:space="0"/>
              <w:right w:val="single" w:color="auto" w:sz="4" w:space="0"/>
            </w:tcBorders>
            <w:shd w:val="clear" w:color="auto" w:fill="auto"/>
            <w:vAlign w:val="center"/>
          </w:tcPr>
          <w:p w14:paraId="47E02075">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2.63±0.32</w:t>
            </w:r>
          </w:p>
        </w:tc>
        <w:tc>
          <w:tcPr>
            <w:tcW w:w="1559" w:type="dxa"/>
            <w:tcBorders>
              <w:top w:val="nil"/>
              <w:left w:val="nil"/>
              <w:bottom w:val="single" w:color="auto" w:sz="4" w:space="0"/>
              <w:right w:val="single" w:color="auto" w:sz="4" w:space="0"/>
            </w:tcBorders>
            <w:shd w:val="clear" w:color="auto" w:fill="auto"/>
            <w:vAlign w:val="center"/>
          </w:tcPr>
          <w:p w14:paraId="5A228FFA">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4±0.58</w:t>
            </w:r>
          </w:p>
        </w:tc>
        <w:tc>
          <w:tcPr>
            <w:tcW w:w="1701" w:type="dxa"/>
            <w:tcBorders>
              <w:top w:val="nil"/>
              <w:left w:val="nil"/>
              <w:bottom w:val="single" w:color="auto" w:sz="4" w:space="0"/>
              <w:right w:val="single" w:color="auto" w:sz="4" w:space="0"/>
            </w:tcBorders>
            <w:shd w:val="clear" w:color="auto" w:fill="auto"/>
            <w:vAlign w:val="center"/>
          </w:tcPr>
          <w:p w14:paraId="57F1E55F">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44.0±3.06</w:t>
            </w:r>
          </w:p>
        </w:tc>
        <w:tc>
          <w:tcPr>
            <w:tcW w:w="1701" w:type="dxa"/>
            <w:tcBorders>
              <w:top w:val="nil"/>
              <w:left w:val="nil"/>
              <w:bottom w:val="single" w:color="auto" w:sz="4" w:space="0"/>
              <w:right w:val="single" w:color="auto" w:sz="4" w:space="0"/>
            </w:tcBorders>
            <w:shd w:val="clear" w:color="auto" w:fill="auto"/>
            <w:vAlign w:val="center"/>
          </w:tcPr>
          <w:p w14:paraId="44915D0D">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169.0±8.74</w:t>
            </w:r>
          </w:p>
        </w:tc>
      </w:tr>
      <w:tr w14:paraId="6CBD543F">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0EA2C451">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5</w:t>
            </w:r>
          </w:p>
        </w:tc>
        <w:tc>
          <w:tcPr>
            <w:tcW w:w="2551" w:type="dxa"/>
            <w:tcBorders>
              <w:top w:val="nil"/>
              <w:left w:val="nil"/>
              <w:bottom w:val="single" w:color="auto" w:sz="4" w:space="0"/>
              <w:right w:val="single" w:color="auto" w:sz="4" w:space="0"/>
            </w:tcBorders>
            <w:shd w:val="clear" w:color="auto" w:fill="auto"/>
            <w:vAlign w:val="center"/>
          </w:tcPr>
          <w:p w14:paraId="2B37E01E">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250mg/kg N-hexane</w:t>
            </w:r>
          </w:p>
        </w:tc>
        <w:tc>
          <w:tcPr>
            <w:tcW w:w="1560" w:type="dxa"/>
            <w:tcBorders>
              <w:top w:val="nil"/>
              <w:left w:val="nil"/>
              <w:bottom w:val="single" w:color="auto" w:sz="4" w:space="0"/>
              <w:right w:val="single" w:color="auto" w:sz="4" w:space="0"/>
            </w:tcBorders>
            <w:shd w:val="clear" w:color="auto" w:fill="auto"/>
            <w:vAlign w:val="center"/>
          </w:tcPr>
          <w:p w14:paraId="5F089DFB">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2.56±0.41</w:t>
            </w:r>
          </w:p>
        </w:tc>
        <w:tc>
          <w:tcPr>
            <w:tcW w:w="1559" w:type="dxa"/>
            <w:tcBorders>
              <w:top w:val="nil"/>
              <w:left w:val="nil"/>
              <w:bottom w:val="single" w:color="auto" w:sz="4" w:space="0"/>
              <w:right w:val="single" w:color="auto" w:sz="4" w:space="0"/>
            </w:tcBorders>
            <w:shd w:val="clear" w:color="auto" w:fill="auto"/>
            <w:vAlign w:val="center"/>
          </w:tcPr>
          <w:p w14:paraId="58B8EAE1">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4±0.72</w:t>
            </w:r>
          </w:p>
        </w:tc>
        <w:tc>
          <w:tcPr>
            <w:tcW w:w="1701" w:type="dxa"/>
            <w:tcBorders>
              <w:top w:val="nil"/>
              <w:left w:val="nil"/>
              <w:bottom w:val="single" w:color="auto" w:sz="4" w:space="0"/>
              <w:right w:val="single" w:color="auto" w:sz="4" w:space="0"/>
            </w:tcBorders>
            <w:shd w:val="clear" w:color="auto" w:fill="auto"/>
            <w:vAlign w:val="center"/>
          </w:tcPr>
          <w:p w14:paraId="5D75D1F4">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64.5±4.82</w:t>
            </w:r>
          </w:p>
        </w:tc>
        <w:tc>
          <w:tcPr>
            <w:tcW w:w="1701" w:type="dxa"/>
            <w:tcBorders>
              <w:top w:val="nil"/>
              <w:left w:val="nil"/>
              <w:bottom w:val="single" w:color="auto" w:sz="4" w:space="0"/>
              <w:right w:val="single" w:color="auto" w:sz="4" w:space="0"/>
            </w:tcBorders>
            <w:shd w:val="clear" w:color="auto" w:fill="auto"/>
            <w:vAlign w:val="center"/>
          </w:tcPr>
          <w:p w14:paraId="571BD6C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236±10.82</w:t>
            </w:r>
          </w:p>
        </w:tc>
      </w:tr>
      <w:tr w14:paraId="26F4E0F7">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0BBDAB1E">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6</w:t>
            </w:r>
          </w:p>
        </w:tc>
        <w:tc>
          <w:tcPr>
            <w:tcW w:w="2551" w:type="dxa"/>
            <w:tcBorders>
              <w:top w:val="nil"/>
              <w:left w:val="nil"/>
              <w:bottom w:val="single" w:color="auto" w:sz="4" w:space="0"/>
              <w:right w:val="single" w:color="auto" w:sz="4" w:space="0"/>
            </w:tcBorders>
            <w:shd w:val="clear" w:color="auto" w:fill="auto"/>
            <w:vAlign w:val="center"/>
          </w:tcPr>
          <w:p w14:paraId="12CEC93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N-hexane</w:t>
            </w:r>
          </w:p>
        </w:tc>
        <w:tc>
          <w:tcPr>
            <w:tcW w:w="1560" w:type="dxa"/>
            <w:tcBorders>
              <w:top w:val="nil"/>
              <w:left w:val="nil"/>
              <w:bottom w:val="single" w:color="auto" w:sz="4" w:space="0"/>
              <w:right w:val="single" w:color="auto" w:sz="4" w:space="0"/>
            </w:tcBorders>
            <w:shd w:val="clear" w:color="auto" w:fill="auto"/>
            <w:vAlign w:val="center"/>
          </w:tcPr>
          <w:p w14:paraId="18CAD760">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2.62±0.57</w:t>
            </w:r>
          </w:p>
        </w:tc>
        <w:tc>
          <w:tcPr>
            <w:tcW w:w="1559" w:type="dxa"/>
            <w:tcBorders>
              <w:top w:val="nil"/>
              <w:left w:val="nil"/>
              <w:bottom w:val="single" w:color="auto" w:sz="4" w:space="0"/>
              <w:right w:val="single" w:color="auto" w:sz="4" w:space="0"/>
            </w:tcBorders>
            <w:shd w:val="clear" w:color="auto" w:fill="auto"/>
            <w:vAlign w:val="center"/>
          </w:tcPr>
          <w:p w14:paraId="106EC06F">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3.89±0.68</w:t>
            </w:r>
          </w:p>
        </w:tc>
        <w:tc>
          <w:tcPr>
            <w:tcW w:w="1701" w:type="dxa"/>
            <w:tcBorders>
              <w:top w:val="nil"/>
              <w:left w:val="nil"/>
              <w:bottom w:val="single" w:color="auto" w:sz="4" w:space="0"/>
              <w:right w:val="single" w:color="auto" w:sz="4" w:space="0"/>
            </w:tcBorders>
            <w:shd w:val="clear" w:color="auto" w:fill="auto"/>
            <w:vAlign w:val="center"/>
          </w:tcPr>
          <w:p w14:paraId="350058CA">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65.2±9.66</w:t>
            </w:r>
          </w:p>
        </w:tc>
        <w:tc>
          <w:tcPr>
            <w:tcW w:w="1701" w:type="dxa"/>
            <w:tcBorders>
              <w:top w:val="nil"/>
              <w:left w:val="nil"/>
              <w:bottom w:val="single" w:color="auto" w:sz="4" w:space="0"/>
              <w:right w:val="single" w:color="auto" w:sz="4" w:space="0"/>
            </w:tcBorders>
            <w:shd w:val="clear" w:color="auto" w:fill="auto"/>
            <w:vAlign w:val="center"/>
          </w:tcPr>
          <w:p w14:paraId="538E3AC9">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227.6±8.21</w:t>
            </w:r>
          </w:p>
        </w:tc>
      </w:tr>
      <w:tr w14:paraId="49234A15">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782839CD">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7</w:t>
            </w:r>
          </w:p>
        </w:tc>
        <w:tc>
          <w:tcPr>
            <w:tcW w:w="2551" w:type="dxa"/>
            <w:tcBorders>
              <w:top w:val="nil"/>
              <w:left w:val="nil"/>
              <w:bottom w:val="single" w:color="auto" w:sz="4" w:space="0"/>
              <w:right w:val="single" w:color="auto" w:sz="4" w:space="0"/>
            </w:tcBorders>
            <w:shd w:val="clear" w:color="auto" w:fill="auto"/>
            <w:vAlign w:val="center"/>
          </w:tcPr>
          <w:p w14:paraId="139133AF">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 mg/kg ethyl acetate</w:t>
            </w:r>
          </w:p>
        </w:tc>
        <w:tc>
          <w:tcPr>
            <w:tcW w:w="1560" w:type="dxa"/>
            <w:tcBorders>
              <w:top w:val="nil"/>
              <w:left w:val="nil"/>
              <w:bottom w:val="single" w:color="auto" w:sz="4" w:space="0"/>
              <w:right w:val="single" w:color="auto" w:sz="4" w:space="0"/>
            </w:tcBorders>
            <w:shd w:val="clear" w:color="auto" w:fill="auto"/>
            <w:vAlign w:val="center"/>
          </w:tcPr>
          <w:p w14:paraId="560FE985">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2.15±0.36</w:t>
            </w:r>
          </w:p>
        </w:tc>
        <w:tc>
          <w:tcPr>
            <w:tcW w:w="1559" w:type="dxa"/>
            <w:tcBorders>
              <w:top w:val="nil"/>
              <w:left w:val="nil"/>
              <w:bottom w:val="single" w:color="auto" w:sz="4" w:space="0"/>
              <w:right w:val="single" w:color="auto" w:sz="4" w:space="0"/>
            </w:tcBorders>
            <w:shd w:val="clear" w:color="auto" w:fill="auto"/>
            <w:vAlign w:val="center"/>
          </w:tcPr>
          <w:p w14:paraId="2B04CAF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4±0.57</w:t>
            </w:r>
          </w:p>
        </w:tc>
        <w:tc>
          <w:tcPr>
            <w:tcW w:w="1701" w:type="dxa"/>
            <w:tcBorders>
              <w:top w:val="nil"/>
              <w:left w:val="nil"/>
              <w:bottom w:val="single" w:color="auto" w:sz="4" w:space="0"/>
              <w:right w:val="single" w:color="auto" w:sz="4" w:space="0"/>
            </w:tcBorders>
            <w:shd w:val="clear" w:color="auto" w:fill="auto"/>
            <w:vAlign w:val="center"/>
          </w:tcPr>
          <w:p w14:paraId="1E3B6314">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59.6±5.36</w:t>
            </w:r>
          </w:p>
        </w:tc>
        <w:tc>
          <w:tcPr>
            <w:tcW w:w="1701" w:type="dxa"/>
            <w:tcBorders>
              <w:top w:val="nil"/>
              <w:left w:val="nil"/>
              <w:bottom w:val="single" w:color="auto" w:sz="4" w:space="0"/>
              <w:right w:val="single" w:color="auto" w:sz="4" w:space="0"/>
            </w:tcBorders>
            <w:shd w:val="clear" w:color="auto" w:fill="auto"/>
            <w:vAlign w:val="center"/>
          </w:tcPr>
          <w:p w14:paraId="08D89B38">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221.4±7.82</w:t>
            </w:r>
          </w:p>
        </w:tc>
      </w:tr>
      <w:tr w14:paraId="51032769">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18E46014">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8</w:t>
            </w:r>
          </w:p>
        </w:tc>
        <w:tc>
          <w:tcPr>
            <w:tcW w:w="2551" w:type="dxa"/>
            <w:tcBorders>
              <w:top w:val="nil"/>
              <w:left w:val="nil"/>
              <w:bottom w:val="single" w:color="auto" w:sz="4" w:space="0"/>
              <w:right w:val="single" w:color="auto" w:sz="4" w:space="0"/>
            </w:tcBorders>
            <w:shd w:val="clear" w:color="auto" w:fill="auto"/>
            <w:vAlign w:val="center"/>
          </w:tcPr>
          <w:p w14:paraId="6634693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ethyl acetate</w:t>
            </w:r>
          </w:p>
        </w:tc>
        <w:tc>
          <w:tcPr>
            <w:tcW w:w="1560" w:type="dxa"/>
            <w:tcBorders>
              <w:top w:val="nil"/>
              <w:left w:val="nil"/>
              <w:bottom w:val="single" w:color="auto" w:sz="4" w:space="0"/>
              <w:right w:val="single" w:color="auto" w:sz="4" w:space="0"/>
            </w:tcBorders>
            <w:shd w:val="clear" w:color="auto" w:fill="auto"/>
            <w:vAlign w:val="center"/>
          </w:tcPr>
          <w:p w14:paraId="01B556D5">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2,18±0.46</w:t>
            </w:r>
          </w:p>
        </w:tc>
        <w:tc>
          <w:tcPr>
            <w:tcW w:w="1559" w:type="dxa"/>
            <w:tcBorders>
              <w:top w:val="nil"/>
              <w:left w:val="nil"/>
              <w:bottom w:val="single" w:color="auto" w:sz="4" w:space="0"/>
              <w:right w:val="single" w:color="auto" w:sz="4" w:space="0"/>
            </w:tcBorders>
            <w:shd w:val="clear" w:color="auto" w:fill="auto"/>
            <w:vAlign w:val="center"/>
          </w:tcPr>
          <w:p w14:paraId="31CB05F4">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4.1±0.72</w:t>
            </w:r>
          </w:p>
        </w:tc>
        <w:tc>
          <w:tcPr>
            <w:tcW w:w="1701" w:type="dxa"/>
            <w:tcBorders>
              <w:top w:val="nil"/>
              <w:left w:val="nil"/>
              <w:bottom w:val="single" w:color="auto" w:sz="4" w:space="0"/>
              <w:right w:val="single" w:color="auto" w:sz="4" w:space="0"/>
            </w:tcBorders>
            <w:shd w:val="clear" w:color="auto" w:fill="auto"/>
            <w:vAlign w:val="center"/>
          </w:tcPr>
          <w:p w14:paraId="484CAC05">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50.6±4.81</w:t>
            </w:r>
          </w:p>
        </w:tc>
        <w:tc>
          <w:tcPr>
            <w:tcW w:w="1701" w:type="dxa"/>
            <w:tcBorders>
              <w:top w:val="nil"/>
              <w:left w:val="nil"/>
              <w:bottom w:val="single" w:color="auto" w:sz="4" w:space="0"/>
              <w:right w:val="single" w:color="auto" w:sz="4" w:space="0"/>
            </w:tcBorders>
            <w:shd w:val="clear" w:color="auto" w:fill="auto"/>
            <w:vAlign w:val="center"/>
          </w:tcPr>
          <w:p w14:paraId="40B826B0">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210.1±8.13</w:t>
            </w:r>
          </w:p>
        </w:tc>
      </w:tr>
      <w:tr w14:paraId="4652BD00">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6A92ED29">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9</w:t>
            </w:r>
          </w:p>
        </w:tc>
        <w:tc>
          <w:tcPr>
            <w:tcW w:w="2551" w:type="dxa"/>
            <w:tcBorders>
              <w:top w:val="nil"/>
              <w:left w:val="nil"/>
              <w:bottom w:val="single" w:color="auto" w:sz="4" w:space="0"/>
              <w:right w:val="single" w:color="auto" w:sz="4" w:space="0"/>
            </w:tcBorders>
            <w:shd w:val="clear" w:color="auto" w:fill="auto"/>
            <w:vAlign w:val="center"/>
          </w:tcPr>
          <w:p w14:paraId="7D48C8A9">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250mg/kg butanol</w:t>
            </w:r>
          </w:p>
        </w:tc>
        <w:tc>
          <w:tcPr>
            <w:tcW w:w="1560" w:type="dxa"/>
            <w:tcBorders>
              <w:top w:val="nil"/>
              <w:left w:val="nil"/>
              <w:bottom w:val="single" w:color="auto" w:sz="4" w:space="0"/>
              <w:right w:val="single" w:color="auto" w:sz="4" w:space="0"/>
            </w:tcBorders>
            <w:shd w:val="clear" w:color="auto" w:fill="auto"/>
            <w:vAlign w:val="center"/>
          </w:tcPr>
          <w:p w14:paraId="6581B26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2.53±0.53</w:t>
            </w:r>
          </w:p>
        </w:tc>
        <w:tc>
          <w:tcPr>
            <w:tcW w:w="1559" w:type="dxa"/>
            <w:tcBorders>
              <w:top w:val="nil"/>
              <w:left w:val="nil"/>
              <w:bottom w:val="single" w:color="auto" w:sz="4" w:space="0"/>
              <w:right w:val="single" w:color="auto" w:sz="4" w:space="0"/>
            </w:tcBorders>
            <w:shd w:val="clear" w:color="auto" w:fill="auto"/>
            <w:vAlign w:val="center"/>
          </w:tcPr>
          <w:p w14:paraId="4A745FC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2.83±0.17</w:t>
            </w:r>
          </w:p>
        </w:tc>
        <w:tc>
          <w:tcPr>
            <w:tcW w:w="1701" w:type="dxa"/>
            <w:tcBorders>
              <w:top w:val="nil"/>
              <w:left w:val="nil"/>
              <w:bottom w:val="single" w:color="auto" w:sz="4" w:space="0"/>
              <w:right w:val="single" w:color="auto" w:sz="4" w:space="0"/>
            </w:tcBorders>
            <w:shd w:val="clear" w:color="auto" w:fill="auto"/>
            <w:vAlign w:val="center"/>
          </w:tcPr>
          <w:p w14:paraId="2ACBE544">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35.7±2.33</w:t>
            </w:r>
          </w:p>
        </w:tc>
        <w:tc>
          <w:tcPr>
            <w:tcW w:w="1701" w:type="dxa"/>
            <w:tcBorders>
              <w:top w:val="nil"/>
              <w:left w:val="nil"/>
              <w:bottom w:val="single" w:color="auto" w:sz="4" w:space="0"/>
              <w:right w:val="single" w:color="auto" w:sz="4" w:space="0"/>
            </w:tcBorders>
            <w:shd w:val="clear" w:color="auto" w:fill="auto"/>
            <w:vAlign w:val="center"/>
          </w:tcPr>
          <w:p w14:paraId="3B4D875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163±8.95</w:t>
            </w:r>
          </w:p>
        </w:tc>
      </w:tr>
      <w:tr w14:paraId="71D3627D">
        <w:tblPrEx>
          <w:tblCellMar>
            <w:top w:w="0" w:type="dxa"/>
            <w:left w:w="108" w:type="dxa"/>
            <w:bottom w:w="0" w:type="dxa"/>
            <w:right w:w="108" w:type="dxa"/>
          </w:tblCellMar>
        </w:tblPrEx>
        <w:trPr>
          <w:trHeight w:val="31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60D6AF1F">
            <w:pPr>
              <w:spacing w:after="0" w:line="240" w:lineRule="auto"/>
              <w:jc w:val="right"/>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10</w:t>
            </w:r>
          </w:p>
        </w:tc>
        <w:tc>
          <w:tcPr>
            <w:tcW w:w="2551" w:type="dxa"/>
            <w:tcBorders>
              <w:top w:val="nil"/>
              <w:left w:val="nil"/>
              <w:bottom w:val="single" w:color="auto" w:sz="4" w:space="0"/>
              <w:right w:val="single" w:color="auto" w:sz="4" w:space="0"/>
            </w:tcBorders>
            <w:shd w:val="clear" w:color="auto" w:fill="auto"/>
            <w:vAlign w:val="center"/>
          </w:tcPr>
          <w:p w14:paraId="7EEC389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500mg/kg butanol</w:t>
            </w:r>
          </w:p>
        </w:tc>
        <w:tc>
          <w:tcPr>
            <w:tcW w:w="1560" w:type="dxa"/>
            <w:tcBorders>
              <w:top w:val="nil"/>
              <w:left w:val="nil"/>
              <w:bottom w:val="single" w:color="auto" w:sz="4" w:space="0"/>
              <w:right w:val="single" w:color="auto" w:sz="4" w:space="0"/>
            </w:tcBorders>
            <w:shd w:val="clear" w:color="auto" w:fill="auto"/>
            <w:vAlign w:val="center"/>
          </w:tcPr>
          <w:p w14:paraId="45179D67">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2.6±0.42</w:t>
            </w:r>
          </w:p>
        </w:tc>
        <w:tc>
          <w:tcPr>
            <w:tcW w:w="1559" w:type="dxa"/>
            <w:tcBorders>
              <w:top w:val="nil"/>
              <w:left w:val="nil"/>
              <w:bottom w:val="single" w:color="auto" w:sz="4" w:space="0"/>
              <w:right w:val="single" w:color="auto" w:sz="4" w:space="0"/>
            </w:tcBorders>
            <w:shd w:val="clear" w:color="auto" w:fill="auto"/>
            <w:vAlign w:val="center"/>
          </w:tcPr>
          <w:p w14:paraId="76C42252">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4.17±0.44</w:t>
            </w:r>
          </w:p>
        </w:tc>
        <w:tc>
          <w:tcPr>
            <w:tcW w:w="1701" w:type="dxa"/>
            <w:tcBorders>
              <w:top w:val="nil"/>
              <w:left w:val="nil"/>
              <w:bottom w:val="single" w:color="auto" w:sz="4" w:space="0"/>
              <w:right w:val="single" w:color="auto" w:sz="4" w:space="0"/>
            </w:tcBorders>
            <w:shd w:val="clear" w:color="auto" w:fill="auto"/>
            <w:vAlign w:val="center"/>
          </w:tcPr>
          <w:p w14:paraId="366B8680">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48.7±2.4</w:t>
            </w:r>
          </w:p>
        </w:tc>
        <w:tc>
          <w:tcPr>
            <w:tcW w:w="1701" w:type="dxa"/>
            <w:tcBorders>
              <w:top w:val="nil"/>
              <w:left w:val="nil"/>
              <w:bottom w:val="single" w:color="auto" w:sz="4" w:space="0"/>
              <w:right w:val="single" w:color="auto" w:sz="4" w:space="0"/>
            </w:tcBorders>
            <w:shd w:val="clear" w:color="auto" w:fill="auto"/>
            <w:vAlign w:val="center"/>
          </w:tcPr>
          <w:p w14:paraId="7AB0AF54">
            <w:pP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185±3.48</w:t>
            </w:r>
          </w:p>
        </w:tc>
      </w:tr>
    </w:tbl>
    <w:p w14:paraId="26FD83DA">
      <w:pPr>
        <w:spacing w:line="240" w:lineRule="auto"/>
      </w:pPr>
    </w:p>
    <w:p w14:paraId="338871D8">
      <w:pPr>
        <w:spacing w:line="240" w:lineRule="auto"/>
      </w:pPr>
    </w:p>
    <w:p w14:paraId="01D62013">
      <w:pPr>
        <w:spacing w:line="240" w:lineRule="auto"/>
      </w:pPr>
    </w:p>
    <w:p w14:paraId="7D4B6B57">
      <w:pPr>
        <w:spacing w:line="240" w:lineRule="auto"/>
      </w:pPr>
      <w:r>
        <w:rPr>
          <w:lang w:eastAsia="en-US"/>
        </w:rPr>
        <w:drawing>
          <wp:inline distT="0" distB="0" distL="0" distR="0">
            <wp:extent cx="4572000" cy="2533650"/>
            <wp:effectExtent l="4445" t="4445" r="14605" b="146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F0E023">
      <w:pPr>
        <w:spacing w:line="240" w:lineRule="auto"/>
      </w:pPr>
      <w:r>
        <w:t xml:space="preserve">Fig 4: Bar chart showing the graph of gastric juice volume against dose </w:t>
      </w:r>
    </w:p>
    <w:p w14:paraId="16AF001E">
      <w:pPr>
        <w:spacing w:line="240" w:lineRule="auto"/>
      </w:pPr>
    </w:p>
    <w:p w14:paraId="49EC1D9C">
      <w:pPr>
        <w:spacing w:line="240" w:lineRule="auto"/>
      </w:pPr>
      <w:r>
        <w:rPr>
          <w:lang w:eastAsia="en-US"/>
        </w:rPr>
        <w:drawing>
          <wp:inline distT="0" distB="0" distL="0" distR="0">
            <wp:extent cx="4572000" cy="2538730"/>
            <wp:effectExtent l="4445" t="4445" r="1460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78BCB0">
      <w:pPr>
        <w:spacing w:line="240" w:lineRule="auto"/>
      </w:pPr>
      <w:r>
        <w:t xml:space="preserve">Fig 5: Bar chart showing the graph of gastric PH against dose </w:t>
      </w:r>
    </w:p>
    <w:p w14:paraId="32F93FC7">
      <w:pPr>
        <w:spacing w:line="240" w:lineRule="auto"/>
      </w:pPr>
    </w:p>
    <w:p w14:paraId="481D86EE">
      <w:pPr>
        <w:spacing w:line="240" w:lineRule="auto"/>
      </w:pPr>
      <w:r>
        <w:rPr>
          <w:lang w:eastAsia="en-US"/>
        </w:rPr>
        <w:drawing>
          <wp:inline distT="0" distB="0" distL="0" distR="0">
            <wp:extent cx="4572000" cy="2061845"/>
            <wp:effectExtent l="4445" t="4445" r="14605" b="1016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1888EE">
      <w:pPr>
        <w:spacing w:line="240" w:lineRule="auto"/>
      </w:pPr>
      <w:r>
        <w:t xml:space="preserve">Fig 6: Bar chart showing the graph of gastric juice free acid against dose </w:t>
      </w:r>
    </w:p>
    <w:p w14:paraId="7C6AD8E3">
      <w:pPr>
        <w:pStyle w:val="37"/>
        <w:rPr>
          <w:rFonts w:eastAsiaTheme="minorHAnsi"/>
          <w:b w:val="0"/>
        </w:rPr>
      </w:pPr>
      <w:r>
        <w:rPr>
          <w:lang w:eastAsia="en-US"/>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4572000" cy="2533650"/>
            <wp:effectExtent l="4445" t="4445" r="14605" b="1460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br w:type="textWrapping" w:clear="all"/>
      </w:r>
      <w:r>
        <w:t>Fig 7: Bar chart showing the graph of gastric juice total acid against dose</w:t>
      </w:r>
    </w:p>
    <w:p w14:paraId="231636BD">
      <w:pPr>
        <w:pStyle w:val="2"/>
        <w:rPr>
          <w:rFonts w:eastAsiaTheme="minorHAnsi"/>
        </w:rPr>
      </w:pPr>
      <w:r>
        <w:rPr>
          <w:rFonts w:eastAsiaTheme="minorHAnsi"/>
        </w:rPr>
        <w:t>Discussion</w:t>
      </w:r>
    </w:p>
    <w:p w14:paraId="6A64854E">
      <w:pPr>
        <w:pStyle w:val="17"/>
        <w:jc w:val="both"/>
        <w:rPr>
          <w:color w:val="000000" w:themeColor="text1"/>
          <w14:textFill>
            <w14:solidFill>
              <w14:schemeClr w14:val="tx1"/>
            </w14:solidFill>
          </w14:textFill>
        </w:rPr>
      </w:pPr>
      <w:r>
        <w:rPr>
          <w:color w:val="000000" w:themeColor="text1"/>
          <w14:textFill>
            <w14:solidFill>
              <w14:schemeClr w14:val="tx1"/>
            </w14:solidFill>
          </w14:textFill>
        </w:rPr>
        <w:t xml:space="preserve">The present study demonstrated that the ethanol extract of </w:t>
      </w:r>
      <w:r>
        <w:rPr>
          <w:rStyle w:val="10"/>
          <w:rFonts w:eastAsiaTheme="majorEastAsia"/>
          <w:color w:val="000000" w:themeColor="text1"/>
          <w14:textFill>
            <w14:solidFill>
              <w14:schemeClr w14:val="tx1"/>
            </w14:solidFill>
          </w14:textFill>
        </w:rPr>
        <w:t>Cleistopholis staudtii</w:t>
      </w:r>
      <w:r>
        <w:rPr>
          <w:color w:val="000000" w:themeColor="text1"/>
          <w14:textFill>
            <w14:solidFill>
              <w14:schemeClr w14:val="tx1"/>
            </w14:solidFill>
          </w14:textFill>
        </w:rPr>
        <w:t xml:space="preserve"> leaves and its solvent fractions possess significant gastroprotective activity in the pylorus-ligated rat model. This model is widely recognized for evaluating antiulcer activity because it induces ulcers primarily through gastric hypersecretion and accumulation of acidic gastric juice, thereby mimicking pathophysiological conditions associated with peptic ulcer disease [1, 10]. The high ulcer index recorded in the control group confirmed the reliability of the model, while the marked reduction in ulceration by omeprazole validated its sensitivity. The oral LD₅₀ of the ethanol extract was estimated to be above 5000 mg/kg, indicating a wide margin of safety. According to OECD guidelines, substances with LD₅₀ greater than 5000 mg/kg are considered practically non-toxic [11]. This suggests that </w:t>
      </w:r>
      <w:r>
        <w:rPr>
          <w:rStyle w:val="10"/>
          <w:rFonts w:eastAsiaTheme="majorEastAsia"/>
          <w:color w:val="000000" w:themeColor="text1"/>
          <w14:textFill>
            <w14:solidFill>
              <w14:schemeClr w14:val="tx1"/>
            </w14:solidFill>
          </w14:textFill>
        </w:rPr>
        <w:t>C. staudtii</w:t>
      </w:r>
      <w:r>
        <w:rPr>
          <w:color w:val="000000" w:themeColor="text1"/>
          <w14:textFill>
            <w14:solidFill>
              <w14:schemeClr w14:val="tx1"/>
            </w14:solidFill>
          </w14:textFill>
        </w:rPr>
        <w:t xml:space="preserve"> may be safe for therapeutic use and provides pharmacological justification for its traditional use in managing gastrointestinal disorders. </w:t>
      </w:r>
    </w:p>
    <w:p w14:paraId="5246ECB4">
      <w:pPr>
        <w:pStyle w:val="17"/>
        <w:jc w:val="both"/>
        <w:rPr>
          <w:color w:val="000000" w:themeColor="text1"/>
          <w14:textFill>
            <w14:solidFill>
              <w14:schemeClr w14:val="tx1"/>
            </w14:solidFill>
          </w14:textFill>
        </w:rPr>
      </w:pPr>
      <w:r>
        <w:rPr>
          <w:color w:val="000000" w:themeColor="text1"/>
          <w14:textFill>
            <w14:solidFill>
              <w14:schemeClr w14:val="tx1"/>
            </w14:solidFill>
          </w14:textFill>
        </w:rPr>
        <w:t xml:space="preserve">The crude ethanol extract at 500 mg/kg significantly reduced ulcer index and produced 88.23% inhibition, comparable to omeprazole (88.23%). This effect was associated with an increase in gastric pH and a reduction in both free and total acidity, suggesting that the extract exhibits both antisecretory and cytoprotective properties. Similar findings have been reported for flavonoid- and phenolic-rich extracts of medicinal plants, which act by modulating gastric acid secretion and enhancing mucosal defense [14, 2]. Among the solvent fractions, the butanol fraction (250 mg/kg) showed the highest inhibition (79.38%), with pronounced reduction in free acidity (35.7 ± 2.33), even surpassing omeprazole (43.6 ± 5.22). This suggests that polar phytoconstituents concentrated in the butanol fraction, such as flavonoids, tannins, and phenolic compounds, may play a key role in the antiulcer activity. Interestingly, the butanol fraction at 500 mg/kg exhibited lower protection (64.60%) than at 250 mg/kg, indicating a possible inverted dose-response. This phenomenon has been observed with other plant extracts and may be attributed to saturation of protective pathways, interference from antagonistic phytochemicals, or adaptive gastric responses at higher doses [15]. The ethyl acetate fraction demonstrated moderate, dose-dependent gastroprotection (20.35% and 37.17% at 250 and 500 mg/kg respectively), while the n-hexane fraction produced minimal inhibition, suggesting that nonpolar compounds contribute little to the gastroprotective activity of </w:t>
      </w:r>
      <w:r>
        <w:rPr>
          <w:rStyle w:val="10"/>
          <w:rFonts w:eastAsiaTheme="majorEastAsia"/>
          <w:color w:val="000000" w:themeColor="text1"/>
          <w14:textFill>
            <w14:solidFill>
              <w14:schemeClr w14:val="tx1"/>
            </w14:solidFill>
          </w14:textFill>
        </w:rPr>
        <w:t>C. staudtii</w:t>
      </w:r>
      <w:r>
        <w:rPr>
          <w:color w:val="000000" w:themeColor="text1"/>
          <w14:textFill>
            <w14:solidFill>
              <w14:schemeClr w14:val="tx1"/>
            </w14:solidFill>
          </w14:textFill>
        </w:rPr>
        <w:t>. These results are consistent with the polarity-driven enrichment of bioactive flavonoids and phenolic compounds in medium-to-polar fractions of medicinal plants [18].</w:t>
      </w:r>
    </w:p>
    <w:p w14:paraId="41899BEA">
      <w:pPr>
        <w:pStyle w:val="17"/>
        <w:jc w:val="both"/>
        <w:rPr>
          <w:rFonts w:hint="default" w:ascii="Times New Roman" w:hAnsi="Times New Roman"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t xml:space="preserve">The ability of the extract and fractions to elevate gastric pH while reducing free and total acidity indicates antisecretory activity, while the reduction in ulcer index reflects cytoprotection. Notably, the butanol fraction at 250 mg/kg demonstrated greater reduction in free acidity than omeprazole, suggesting a potent antisecretory mechanism. However, unlike omeprazole, the extract and fractions did not significantly reduce gastric juice volume, implying that their effect may be mediated more by cytoprotective mechanisms, including stimulation of mucus secretion, antioxidant activity, and free radical scavenging, rather than direct suppression of gastric secretion. This is consistent with previous reports that phytoconstituents such as flavonoids and tannins protect gastric mucosa by enhancing </w:t>
      </w:r>
      <w:r>
        <w:rPr>
          <w:rFonts w:hint="default" w:ascii="Times New Roman" w:hAnsi="Times New Roman" w:cs="Times New Roman"/>
          <w:color w:val="000000" w:themeColor="text1"/>
          <w:sz w:val="24"/>
          <w:szCs w:val="24"/>
          <w14:textFill>
            <w14:solidFill>
              <w14:schemeClr w14:val="tx1"/>
            </w14:solidFill>
          </w14:textFill>
        </w:rPr>
        <w:t>prostaglandin synthesis, increasing mucus secretion, and inhibiting oxidative stress [6, 14].</w:t>
      </w:r>
    </w:p>
    <w:p w14:paraId="6371BE34">
      <w:pPr>
        <w:rPr>
          <w:rFonts w:hint="default" w:ascii="Times New Roman" w:hAnsi="Times New Roman" w:cs="Times New Roman"/>
          <w:sz w:val="24"/>
          <w:szCs w:val="24"/>
        </w:rPr>
      </w:pPr>
      <w:r>
        <w:rPr>
          <w:rFonts w:hint="default" w:ascii="Times New Roman" w:hAnsi="Times New Roman" w:cs="Times New Roman"/>
          <w:color w:val="000000" w:themeColor="text1"/>
          <w:sz w:val="24"/>
          <w:szCs w:val="24"/>
          <w14:textFill>
            <w14:solidFill>
              <w14:schemeClr w14:val="tx1"/>
            </w14:solidFill>
          </w14:textFill>
        </w:rPr>
        <w:t xml:space="preserve">The strong gastroprotective effect observed in the butanol fraction supports earlier phytochemical investigations of </w:t>
      </w:r>
      <w:r>
        <w:rPr>
          <w:rStyle w:val="10"/>
          <w:rFonts w:hint="default" w:ascii="Times New Roman" w:hAnsi="Times New Roman" w:cs="Times New Roman" w:eastAsiaTheme="majorEastAsia"/>
          <w:color w:val="000000" w:themeColor="text1"/>
          <w:sz w:val="24"/>
          <w:szCs w:val="24"/>
          <w14:textFill>
            <w14:solidFill>
              <w14:schemeClr w14:val="tx1"/>
            </w14:solidFill>
          </w14:textFill>
        </w:rPr>
        <w:t>C. staudtii</w:t>
      </w:r>
      <w:r>
        <w:rPr>
          <w:rFonts w:hint="default" w:ascii="Times New Roman" w:hAnsi="Times New Roman" w:cs="Times New Roman"/>
          <w:color w:val="000000" w:themeColor="text1"/>
          <w:sz w:val="24"/>
          <w:szCs w:val="24"/>
          <w14:textFill>
            <w14:solidFill>
              <w14:schemeClr w14:val="tx1"/>
            </w14:solidFill>
          </w14:textFill>
        </w:rPr>
        <w:t xml:space="preserve"> which reported abundant flavonoids, alkaloids, tannins, and phenolic compounds [16, 17]. These classes of compounds are well documented for their antiulcer, antioxidant, and anti-inflammatory properties. Flavonoids, in particular, have been shown to scavenge reactive oxygen species, modulate gastric acid secretion, and enhance mucosal defense [2, 3]. The findings therefore suggest that the antiulcer activity of </w:t>
      </w:r>
      <w:r>
        <w:rPr>
          <w:rStyle w:val="10"/>
          <w:rFonts w:hint="default" w:ascii="Times New Roman" w:hAnsi="Times New Roman" w:cs="Times New Roman" w:eastAsiaTheme="majorEastAsia"/>
          <w:color w:val="000000" w:themeColor="text1"/>
          <w:sz w:val="24"/>
          <w:szCs w:val="24"/>
          <w14:textFill>
            <w14:solidFill>
              <w14:schemeClr w14:val="tx1"/>
            </w14:solidFill>
          </w14:textFill>
        </w:rPr>
        <w:t>C. staudtii</w:t>
      </w:r>
      <w:r>
        <w:rPr>
          <w:rFonts w:hint="default" w:ascii="Times New Roman" w:hAnsi="Times New Roman" w:cs="Times New Roman"/>
          <w:color w:val="000000" w:themeColor="text1"/>
          <w:sz w:val="24"/>
          <w:szCs w:val="24"/>
          <w14:textFill>
            <w14:solidFill>
              <w14:schemeClr w14:val="tx1"/>
            </w14:solidFill>
          </w14:textFill>
        </w:rPr>
        <w:t xml:space="preserve"> is mediated through a combination of antisecretory, antioxidant, and cytoprotective mechanisms.</w:t>
      </w:r>
    </w:p>
    <w:p w14:paraId="3FFA9E47">
      <w:pPr>
        <w:pStyle w:val="2"/>
      </w:pPr>
      <w:r>
        <w:t>Conclusion</w:t>
      </w:r>
    </w:p>
    <w:p w14:paraId="0E4CA2D5">
      <w:pPr>
        <w:pStyle w:val="17"/>
        <w:spacing w:before="0" w:beforeAutospacing="0"/>
        <w:jc w:val="both"/>
        <w:rPr>
          <w:color w:val="000000" w:themeColor="text1"/>
          <w14:textFill>
            <w14:solidFill>
              <w14:schemeClr w14:val="tx1"/>
            </w14:solidFill>
          </w14:textFill>
        </w:rPr>
      </w:pPr>
      <w:r>
        <w:rPr>
          <w:color w:val="000000" w:themeColor="text1"/>
          <w14:textFill>
            <w14:solidFill>
              <w14:schemeClr w14:val="tx1"/>
            </w14:solidFill>
          </w14:textFill>
        </w:rPr>
        <w:t xml:space="preserve">In summary, </w:t>
      </w:r>
      <w:r>
        <w:rPr>
          <w:rStyle w:val="10"/>
          <w:rFonts w:eastAsiaTheme="majorEastAsia"/>
          <w:color w:val="000000" w:themeColor="text1"/>
          <w14:textFill>
            <w14:solidFill>
              <w14:schemeClr w14:val="tx1"/>
            </w14:solidFill>
          </w14:textFill>
        </w:rPr>
        <w:t>C. staudtii</w:t>
      </w:r>
      <w:r>
        <w:rPr>
          <w:color w:val="000000" w:themeColor="text1"/>
          <w14:textFill>
            <w14:solidFill>
              <w14:schemeClr w14:val="tx1"/>
            </w14:solidFill>
          </w14:textFill>
        </w:rPr>
        <w:t xml:space="preserve"> exhibited significant antiulcer activity in the pylorus-ligated model, with the crude ethanol extract and butanol fraction being the most effective. The activity appears to be mediated by suppression of gastric acidity and reinforcement of mucosal defense mechanisms, attributable to its rich content of flavonoids and other phenolic compounds. These findings provide pharmacological support for the traditional use of </w:t>
      </w:r>
      <w:r>
        <w:rPr>
          <w:rStyle w:val="10"/>
          <w:rFonts w:eastAsiaTheme="majorEastAsia"/>
          <w:color w:val="000000" w:themeColor="text1"/>
          <w14:textFill>
            <w14:solidFill>
              <w14:schemeClr w14:val="tx1"/>
            </w14:solidFill>
          </w14:textFill>
        </w:rPr>
        <w:t>C. staudtii</w:t>
      </w:r>
      <w:r>
        <w:rPr>
          <w:color w:val="000000" w:themeColor="text1"/>
          <w14:textFill>
            <w14:solidFill>
              <w14:schemeClr w14:val="tx1"/>
            </w14:solidFill>
          </w14:textFill>
        </w:rPr>
        <w:t xml:space="preserve"> in gastrointestinal disorders and justify further studies aimed at isolating and characterizing its bioactive constituents.</w:t>
      </w:r>
    </w:p>
    <w:p w14:paraId="13799198">
      <w:pPr>
        <w:pStyle w:val="43"/>
        <w:rPr>
          <w:rFonts w:hint="default" w:ascii="Times New Roman" w:hAnsi="Times New Roman" w:cs="Times New Roman"/>
          <w:sz w:val="24"/>
          <w:szCs w:val="24"/>
        </w:rPr>
      </w:pPr>
      <w:r>
        <w:rPr>
          <w:rFonts w:hint="default" w:ascii="Times New Roman" w:hAnsi="Times New Roman" w:cs="Times New Roman"/>
          <w:sz w:val="24"/>
          <w:szCs w:val="24"/>
        </w:rPr>
        <w:t>Compliance with ethical standards</w:t>
      </w:r>
    </w:p>
    <w:p w14:paraId="2819EA2A">
      <w:pPr>
        <w:pStyle w:val="43"/>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Ethical Approval</w:t>
      </w:r>
    </w:p>
    <w:p w14:paraId="46F95CBE">
      <w:pPr>
        <w:pStyle w:val="43"/>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All animal experiments were conducted in compliance with NIH guide for care and use of laboratory animals and approved by the Nnamdi Azikiwe University Animal Ethical Committee with approval number NAU/AREC/2024/0056</w:t>
      </w:r>
    </w:p>
    <w:p w14:paraId="39D342D2">
      <w:pPr>
        <w:pStyle w:val="33"/>
        <w:rPr>
          <w:rFonts w:hint="default" w:ascii="Times New Roman" w:hAnsi="Times New Roman" w:cs="Times New Roman"/>
          <w:b/>
          <w:bCs/>
          <w:sz w:val="24"/>
          <w:szCs w:val="24"/>
        </w:rPr>
      </w:pPr>
      <w:r>
        <w:rPr>
          <w:rFonts w:hint="default" w:ascii="Times New Roman" w:hAnsi="Times New Roman" w:cs="Times New Roman"/>
          <w:b/>
          <w:bCs/>
          <w:sz w:val="24"/>
          <w:szCs w:val="24"/>
        </w:rPr>
        <w:t>Disclosure of conflict of interest</w:t>
      </w:r>
    </w:p>
    <w:p w14:paraId="27A114E9">
      <w:pPr>
        <w:pStyle w:val="33"/>
        <w:rPr>
          <w:rFonts w:hint="default" w:ascii="Times New Roman" w:hAnsi="Times New Roman" w:cs="Times New Roman"/>
          <w:i w:val="0"/>
          <w:iCs/>
          <w:sz w:val="24"/>
          <w:szCs w:val="24"/>
        </w:rPr>
      </w:pPr>
      <w:r>
        <w:rPr>
          <w:rFonts w:hint="default" w:ascii="Times New Roman" w:hAnsi="Times New Roman" w:cs="Times New Roman"/>
          <w:i w:val="0"/>
          <w:iCs/>
          <w:sz w:val="24"/>
          <w:szCs w:val="24"/>
        </w:rPr>
        <w:t>The authors declare the absence of any conflicts of interest</w:t>
      </w:r>
    </w:p>
    <w:p w14:paraId="3221B36F">
      <w:pPr>
        <w:pStyle w:val="33"/>
        <w:rPr>
          <w:rFonts w:hint="default" w:ascii="Times New Roman" w:hAnsi="Times New Roman" w:cs="Times New Roman"/>
          <w:b/>
          <w:bCs/>
          <w:sz w:val="24"/>
          <w:szCs w:val="24"/>
        </w:rPr>
      </w:pPr>
      <w:r>
        <w:rPr>
          <w:rFonts w:hint="default" w:ascii="Times New Roman" w:hAnsi="Times New Roman" w:cs="Times New Roman"/>
          <w:b/>
          <w:bCs/>
          <w:sz w:val="24"/>
          <w:szCs w:val="24"/>
        </w:rPr>
        <w:t>Contributions of the Authors</w:t>
      </w:r>
    </w:p>
    <w:p w14:paraId="07ECEFE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All the authors participated actively in the design and implementation of the research study.</w:t>
      </w:r>
    </w:p>
    <w:p w14:paraId="284CDE0E">
      <w:pPr>
        <w:pStyle w:val="43"/>
      </w:pPr>
      <w:r>
        <w:t>References</w:t>
      </w:r>
    </w:p>
    <w:p w14:paraId="02A6A601">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 </w:t>
      </w:r>
      <w:r>
        <w:rPr>
          <w:color w:val="0F1115"/>
          <w:sz w:val="22"/>
          <w:szCs w:val="22"/>
        </w:rPr>
        <w:t>Shay H, Komarov SA, Fels SS, Meranze D, Gruenstein M, Siplet H. A simple method for the uniform production of gastric ulceration in the rat. Gastroenterology. 1945;5(1):43-61.</w:t>
      </w:r>
    </w:p>
    <w:p w14:paraId="22B72EB4">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[2] </w:t>
      </w:r>
      <w:r>
        <w:rPr>
          <w:color w:val="0F1115"/>
          <w:sz w:val="22"/>
          <w:szCs w:val="22"/>
        </w:rPr>
        <w:t>Borrelli F, Izzo AA. The plant kingdom as a source of anti-ulcer remedies. Phytother Res. 2000;14(8):581-91.</w:t>
      </w:r>
    </w:p>
    <w:p w14:paraId="1B7B2438">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[3] </w:t>
      </w:r>
      <w:r>
        <w:rPr>
          <w:color w:val="0F1115"/>
          <w:sz w:val="22"/>
          <w:szCs w:val="22"/>
        </w:rPr>
        <w:t>La Casa C, Villegas I, Alarcón de la Lastra C, Motilva V, Martín Calero MJ. Evidence for protective and antioxidant properties of rutin, a natural flavone, against ethanol-induced gastric lesions. Journal of Ethnopharmacology. 2000;71(1-2):45-53.</w:t>
      </w:r>
    </w:p>
    <w:p w14:paraId="50ECDEE5">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[4] </w:t>
      </w:r>
      <w:r>
        <w:rPr>
          <w:color w:val="0F1115"/>
          <w:sz w:val="22"/>
          <w:szCs w:val="22"/>
        </w:rPr>
        <w:t>Vinegar R, Truax JF, Selph JL, Johnston PR, Venable AL, McKenzie KK. Pathway to the discovery of COX-2 inhibitors. Curr Pharm Des. 2005;11(12):1477-93.</w:t>
      </w:r>
    </w:p>
    <w:p w14:paraId="31260508">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[5] </w:t>
      </w:r>
      <w:r>
        <w:rPr>
          <w:color w:val="0F1115"/>
          <w:sz w:val="22"/>
          <w:szCs w:val="22"/>
        </w:rPr>
        <w:t>Alqasoumi S, Al-Howiriny T, Al-Yahya M, Rafatullah S, Al-Said M. Protective effect of </w:t>
      </w:r>
      <w:r>
        <w:rPr>
          <w:rStyle w:val="10"/>
          <w:color w:val="0F1115"/>
          <w:sz w:val="22"/>
          <w:szCs w:val="22"/>
        </w:rPr>
        <w:t>Origanum majorana</w:t>
      </w:r>
      <w:r>
        <w:rPr>
          <w:color w:val="0F1115"/>
          <w:sz w:val="22"/>
          <w:szCs w:val="22"/>
        </w:rPr>
        <w:t> L. 'marjoram' on various models of gastric mucosal injury in rats. Am J Chin Med. 2011;39(3):483-95.</w:t>
      </w:r>
    </w:p>
    <w:p w14:paraId="25641CD1">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[6] </w:t>
      </w:r>
      <w:r>
        <w:rPr>
          <w:color w:val="0F1115"/>
          <w:sz w:val="22"/>
          <w:szCs w:val="22"/>
        </w:rPr>
        <w:t>Nwafor PA, Okwuasaba FK, Binda LG. Antidiarrhoeal and antiulcerogenic effects of methanolic extract of </w:t>
      </w:r>
      <w:r>
        <w:rPr>
          <w:rStyle w:val="10"/>
          <w:color w:val="0F1115"/>
          <w:sz w:val="22"/>
          <w:szCs w:val="22"/>
        </w:rPr>
        <w:t>Asparagus pubescens</w:t>
      </w:r>
      <w:r>
        <w:rPr>
          <w:color w:val="0F1115"/>
          <w:sz w:val="22"/>
          <w:szCs w:val="22"/>
        </w:rPr>
        <w:t> root in rats. J Ethnopharmacol. 2000;72(3):421-7.</w:t>
      </w:r>
    </w:p>
    <w:p w14:paraId="5B307BCB">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[7] </w:t>
      </w:r>
      <w:r>
        <w:rPr>
          <w:color w:val="0F1115"/>
          <w:sz w:val="22"/>
          <w:szCs w:val="22"/>
        </w:rPr>
        <w:t>Udemgba NO, Nwodo OFC, Joshua PE, Eze CO. Ethnobotanical survey of medicinal plants used for the management of gastrointestinal disorders in Nsukka, Southeast Nigeria. J Med Plants Stud. 2020;8(5):108-15.</w:t>
      </w:r>
    </w:p>
    <w:p w14:paraId="4F228BC0">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[8] </w:t>
      </w:r>
      <w:r>
        <w:rPr>
          <w:color w:val="0F1115"/>
          <w:sz w:val="22"/>
          <w:szCs w:val="22"/>
        </w:rPr>
        <w:t>Olabiyi AA, Adewole KE, Idowu PA. Phytochemical and pharmacological potential of </w:t>
      </w:r>
      <w:r>
        <w:rPr>
          <w:rStyle w:val="10"/>
          <w:color w:val="0F1115"/>
          <w:sz w:val="22"/>
          <w:szCs w:val="22"/>
        </w:rPr>
        <w:t>Cleistopholis staudtii</w:t>
      </w:r>
      <w:r>
        <w:rPr>
          <w:color w:val="0F1115"/>
          <w:sz w:val="22"/>
          <w:szCs w:val="22"/>
        </w:rPr>
        <w:t> (Annonaceae): A review. Trop J Nat Prod Res. 2019;3(12):540-8.</w:t>
      </w:r>
    </w:p>
    <w:p w14:paraId="56CA2ED8">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[9] </w:t>
      </w:r>
      <w:r>
        <w:rPr>
          <w:color w:val="0F1115"/>
          <w:sz w:val="22"/>
          <w:szCs w:val="22"/>
        </w:rPr>
        <w:t>Akinmoladun FO, Komolafe TR, Komolafe TA, Farombi OE, Komolafe EO. Chemical constituents and biological activities of plants from the family Annonaceae. Afr J Biotechnol. 2010;9(45):7758-70.</w:t>
      </w:r>
    </w:p>
    <w:p w14:paraId="5B189B74">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[10] </w:t>
      </w:r>
      <w:r>
        <w:rPr>
          <w:color w:val="0F1115"/>
          <w:sz w:val="22"/>
          <w:szCs w:val="22"/>
        </w:rPr>
        <w:t>Bhajori A, Gupta P, Bhajori V. Evaluation of antiulcer activity of ethanolic extract of </w:t>
      </w:r>
      <w:r>
        <w:rPr>
          <w:rStyle w:val="10"/>
          <w:color w:val="0F1115"/>
          <w:sz w:val="22"/>
          <w:szCs w:val="22"/>
        </w:rPr>
        <w:t>Ficus religiosa</w:t>
      </w:r>
      <w:r>
        <w:rPr>
          <w:color w:val="0F1115"/>
          <w:sz w:val="22"/>
          <w:szCs w:val="22"/>
        </w:rPr>
        <w:t> Linn. leaves in rats. Int J Pharmacol Res. 2016;6(6):188-92.</w:t>
      </w:r>
    </w:p>
    <w:p w14:paraId="72DC5D7E">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[11] </w:t>
      </w:r>
      <w:r>
        <w:rPr>
          <w:color w:val="0F1115"/>
          <w:sz w:val="22"/>
          <w:szCs w:val="22"/>
        </w:rPr>
        <w:t>Organisation for Economic Co-operation and Development (OECD). OECD Guideline for Testing of Chemicals: Acute Oral Toxicity – Acute Toxic Class Method. Test No. 423. Paris: OECD Publishing; 2001.</w:t>
      </w:r>
    </w:p>
    <w:p w14:paraId="38F736A0">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[12] </w:t>
      </w:r>
      <w:r>
        <w:rPr>
          <w:color w:val="0F1115"/>
          <w:sz w:val="22"/>
          <w:szCs w:val="22"/>
        </w:rPr>
        <w:t>Kulkarni S. Hand Book of Experimental Pharmacology. New Delhi: Vallabh Prakashan; 2002. p. 149-50.</w:t>
      </w:r>
    </w:p>
    <w:p w14:paraId="2C9E2FA9">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[13] </w:t>
      </w:r>
      <w:r>
        <w:rPr>
          <w:color w:val="0F1115"/>
          <w:sz w:val="22"/>
          <w:szCs w:val="22"/>
        </w:rPr>
        <w:t>Bongu S, Vijayakumar S. Animal models in experimental gastric ulcer screening-a review. Int J Pharmacol Screen Methods. 2012;2(2):82-7.</w:t>
      </w:r>
    </w:p>
    <w:p w14:paraId="1D2204CE">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[14] </w:t>
      </w:r>
      <w:r>
        <w:rPr>
          <w:color w:val="0F1115"/>
          <w:sz w:val="22"/>
          <w:szCs w:val="22"/>
        </w:rPr>
        <w:t>Alqasoumi S, Al-Sohaibani M, Al-Howiriny T, Al-Yahya M, Rafatullah S. Rocket (</w:t>
      </w:r>
      <w:r>
        <w:rPr>
          <w:rStyle w:val="10"/>
          <w:color w:val="0F1115"/>
          <w:sz w:val="22"/>
          <w:szCs w:val="22"/>
        </w:rPr>
        <w:t>Eruca sativa</w:t>
      </w:r>
      <w:r>
        <w:rPr>
          <w:color w:val="0F1115"/>
          <w:sz w:val="22"/>
          <w:szCs w:val="22"/>
        </w:rPr>
        <w:t>): A salad herb with potential gastric antiulcer activity. World J Gastroenterol. 2011;17(6):747-54.</w:t>
      </w:r>
    </w:p>
    <w:p w14:paraId="18EA7D48">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[15] </w:t>
      </w:r>
      <w:r>
        <w:rPr>
          <w:color w:val="0F1115"/>
          <w:sz w:val="22"/>
          <w:szCs w:val="22"/>
        </w:rPr>
        <w:t>Martins IL, Charneira C, Gandin V, Ferreira da Silva JL, Justino GC, Telo JP. Biphasic dose-response in the anti-inflammatory effect of plant-derived molecules: the case of thymol and carvacrol. Food Funct. 2015;6(5):1513-22.</w:t>
      </w:r>
    </w:p>
    <w:p w14:paraId="7939C4BA">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[16] </w:t>
      </w:r>
      <w:r>
        <w:rPr>
          <w:color w:val="0F1115"/>
          <w:sz w:val="22"/>
          <w:szCs w:val="22"/>
        </w:rPr>
        <w:t>Akinmoladun FO, Komolafe TR, Farombi EO, Olaleye TM. Antioxidant and phytochemical profiles of some Nigerian medicinal plants. Afr J Biotechnol. 2010;9(20):2880-4.</w:t>
      </w:r>
    </w:p>
    <w:p w14:paraId="0AF0ED62">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[17] </w:t>
      </w:r>
      <w:r>
        <w:rPr>
          <w:color w:val="0F1115"/>
          <w:sz w:val="22"/>
          <w:szCs w:val="22"/>
        </w:rPr>
        <w:t>Udemgba OM, Okoye FBC, Esimone CO. Phytochemical screening and pharmacological activities of </w:t>
      </w:r>
      <w:r>
        <w:rPr>
          <w:rStyle w:val="10"/>
          <w:color w:val="0F1115"/>
          <w:sz w:val="22"/>
          <w:szCs w:val="22"/>
        </w:rPr>
        <w:t>Cleistopholis staudtii</w:t>
      </w:r>
      <w:r>
        <w:rPr>
          <w:color w:val="0F1115"/>
          <w:sz w:val="22"/>
          <w:szCs w:val="22"/>
        </w:rPr>
        <w:t>: A review. J Med Plants Res. 2020;14(6):293-302.</w:t>
      </w:r>
    </w:p>
    <w:p w14:paraId="23FFFE9C">
      <w:pPr>
        <w:pStyle w:val="58"/>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afterAutospacing="0"/>
        <w:ind w:left="0" w:leftChars="0" w:firstLine="0" w:firstLineChars="0"/>
        <w:textAlignment w:val="auto"/>
        <w:rPr>
          <w:color w:val="0F1115"/>
          <w:sz w:val="22"/>
          <w:szCs w:val="22"/>
        </w:rPr>
      </w:pPr>
      <w:r>
        <w:rPr>
          <w:rFonts w:hint="default"/>
          <w:color w:val="0F1115"/>
          <w:sz w:val="22"/>
          <w:szCs w:val="22"/>
          <w:lang w:val="en-US"/>
        </w:rPr>
        <w:t xml:space="preserve">[18] </w:t>
      </w:r>
      <w:r>
        <w:rPr>
          <w:color w:val="0F1115"/>
          <w:sz w:val="22"/>
          <w:szCs w:val="22"/>
        </w:rPr>
        <w:t>Olabiyi TI, Ajiboye TO, Komolafe TR. Polarity-based partitioning of phytoconstituents enhances bioactivity: A case study of Nigerian ethnomedicinal plants. J Appl Res Med Aromat Plants. 2019;12:45-53.</w:t>
      </w:r>
    </w:p>
    <w:p w14:paraId="5F9B4437">
      <w:pPr>
        <w:pStyle w:val="36"/>
        <w:numPr>
          <w:ilvl w:val="0"/>
          <w:numId w:val="0"/>
        </w:numPr>
        <w:ind w:leftChars="0"/>
      </w:pPr>
    </w:p>
    <w:sectPr>
      <w:headerReference r:id="rId6" w:type="first"/>
      <w:footerReference r:id="rId8" w:type="first"/>
      <w:headerReference r:id="rId4" w:type="default"/>
      <w:footerReference r:id="rId7" w:type="default"/>
      <w:headerReference r:id="rId5" w:type="even"/>
      <w:type w:val="continuous"/>
      <w:pgSz w:w="11909" w:h="16834"/>
      <w:pgMar w:top="1987" w:right="907" w:bottom="1254" w:left="907" w:header="720" w:footer="706"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Palatino">
    <w:altName w:val="Book Antiqua"/>
    <w:panose1 w:val="00000000000000000000"/>
    <w:charset w:val="00"/>
    <w:family w:val="roma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Rockwell Condensed">
    <w:panose1 w:val="02060603050405020104"/>
    <w:charset w:val="00"/>
    <w:family w:val="roman"/>
    <w:pitch w:val="default"/>
    <w:sig w:usb0="00000003" w:usb1="00000000" w:usb2="00000000" w:usb3="00000000" w:csb0="2000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1832"/>
      <w:docPartObj>
        <w:docPartGallery w:val="autotext"/>
      </w:docPartObj>
    </w:sdtPr>
    <w:sdtContent>
      <w:p w14:paraId="5C472E0A">
        <w:pPr>
          <w:jc w:val="right"/>
        </w:pPr>
        <w:r>
          <w:fldChar w:fldCharType="begin"/>
        </w:r>
        <w:r>
          <w:instrText xml:space="preserve"> PAGE   \* MERGEFORMAT </w:instrText>
        </w:r>
        <w:r>
          <w:fldChar w:fldCharType="separate"/>
        </w:r>
        <w:r>
          <w:t>11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35B1C">
    <w:pPr>
      <w:pStyle w:val="12"/>
      <w:jc w:val="right"/>
    </w:pPr>
    <w:r>
      <w:fldChar w:fldCharType="begin"/>
    </w:r>
    <w:r>
      <w:instrText xml:space="preserve"> PAGE   \* MERGEFORMAT </w:instrText>
    </w:r>
    <w:r>
      <w:fldChar w:fldCharType="separate"/>
    </w:r>
    <w:r>
      <w:t>2</w:t>
    </w:r>
    <w:r>
      <w:fldChar w:fldCharType="end"/>
    </w:r>
  </w:p>
  <w:p w14:paraId="2F5DC0DA">
    <w:pPr>
      <w:keepNext w:val="0"/>
      <w:keepLines w:val="0"/>
      <w:widowControl/>
      <w:suppressLineNumbers w:val="0"/>
      <w:jc w:val="left"/>
    </w:pPr>
    <w:r>
      <w:rPr>
        <w:rFonts w:ascii="Cambria" w:hAnsi="Cambria" w:eastAsia="Cambria" w:cs="Cambria"/>
        <w:color w:val="000000"/>
        <w:kern w:val="0"/>
        <w:sz w:val="13"/>
        <w:szCs w:val="13"/>
        <w:lang w:val="en-US" w:eastAsia="zh-CN" w:bidi="ar"/>
      </w:rPr>
      <w:t xml:space="preserve">* Corresponding author: </w:t>
    </w:r>
    <w:r>
      <w:rPr>
        <w:rFonts w:hint="default" w:asciiTheme="majorAscii" w:hAnsiTheme="majorAscii"/>
        <w:sz w:val="13"/>
        <w:szCs w:val="13"/>
      </w:rPr>
      <w:t>Chukwuebuka Onwuzuligbo cc.onwuzuligbo@unizik.edu.ng</w:t>
    </w:r>
    <w:r>
      <w:rPr>
        <w:rFonts w:hint="default" w:asciiTheme="majorAscii" w:hAnsiTheme="majorAscii"/>
        <w:sz w:val="13"/>
        <w:szCs w:val="13"/>
      </w:rPr>
      <w:fldChar w:fldCharType="begin"/>
    </w:r>
    <w:r>
      <w:rPr>
        <w:rFonts w:hint="default" w:asciiTheme="majorAscii" w:hAnsiTheme="majorAscii"/>
        <w:sz w:val="13"/>
        <w:szCs w:val="13"/>
      </w:rPr>
      <w:instrText xml:space="preserve"> HYPERLINK "mailto:chukwunonsoonwuzuligbo@gmail.com" </w:instrText>
    </w:r>
    <w:r>
      <w:rPr>
        <w:rFonts w:hint="default" w:asciiTheme="majorAscii" w:hAnsiTheme="majorAscii"/>
        <w:sz w:val="13"/>
        <w:szCs w:val="13"/>
      </w:rPr>
      <w:fldChar w:fldCharType="separate"/>
    </w:r>
    <w:r>
      <w:rPr>
        <w:rFonts w:hint="default" w:asciiTheme="majorAscii" w:hAnsiTheme="majorAscii"/>
        <w:sz w:val="13"/>
        <w:szCs w:val="13"/>
      </w:rPr>
      <w:fldChar w:fldCharType="end"/>
    </w:r>
    <w:r>
      <w:rPr>
        <w:rFonts w:hint="default" w:asciiTheme="majorAscii" w:hAnsiTheme="majorAscii"/>
        <w:sz w:val="13"/>
        <w:szCs w:val="13"/>
      </w:rPr>
      <w:t>, +234(0)7060763507</w:t>
    </w:r>
    <w:r>
      <w:rPr>
        <w:rFonts w:hint="default" w:ascii="Cambria" w:hAnsi="Cambria" w:eastAsia="Cambria" w:cs="Cambria"/>
        <w:color w:val="000000"/>
        <w:kern w:val="0"/>
        <w:sz w:val="13"/>
        <w:szCs w:val="13"/>
        <w:lang w:val="en-US" w:eastAsia="zh-CN" w:bidi="ar"/>
      </w:rPr>
      <w:t xml:space="preserve"> </w:t>
    </w:r>
  </w:p>
  <w:p w14:paraId="427F5560">
    <w:pPr>
      <w:keepNext w:val="0"/>
      <w:keepLines w:val="0"/>
      <w:widowControl/>
      <w:suppressLineNumbers w:val="0"/>
      <w:jc w:val="left"/>
    </w:pPr>
    <w:r>
      <w:rPr>
        <w:rFonts w:hint="default" w:ascii="Cambria" w:hAnsi="Cambria" w:eastAsia="Cambria" w:cs="Cambria"/>
        <w:color w:val="000000"/>
        <w:kern w:val="0"/>
        <w:sz w:val="13"/>
        <w:szCs w:val="13"/>
        <w:lang w:val="en-US" w:eastAsia="zh-CN" w:bidi="ar"/>
      </w:rPr>
      <w:t>Copyright © 2025 Author(s) retain the copyright of this article.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1874">
    <w:pPr>
      <w:pStyle w:val="38"/>
      <w:rPr>
        <w:rFonts w:hint="default"/>
        <w:lang w:val="en-US"/>
      </w:rPr>
    </w:pPr>
    <w:r>
      <w:t xml:space="preserve">Journal of Scientific Innovations and Creative Research, 2025, </w:t>
    </w:r>
    <w:r>
      <w:rPr>
        <w:rFonts w:hint="default"/>
        <w:lang w:val="en-US"/>
      </w:rPr>
      <w:t>1</w:t>
    </w:r>
    <w:r>
      <w:t>(</w:t>
    </w:r>
    <w:r>
      <w:rPr>
        <w:rFonts w:hint="default"/>
        <w:lang w:val="en-US"/>
      </w:rPr>
      <w:t>1</w:t>
    </w:r>
    <w:r>
      <w:t xml:space="preserve">), </w:t>
    </w:r>
    <w:r>
      <w:rPr>
        <w:rFonts w:hint="default"/>
        <w:lang w:val="en-US"/>
      </w:rPr>
      <w:t>047</w:t>
    </w:r>
    <w:r>
      <w:t>–</w:t>
    </w:r>
    <w:r>
      <w:rPr>
        <w:rFonts w:hint="default"/>
        <w:lang w:val="en-US"/>
      </w:rPr>
      <w:t>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i/>
      </w:rPr>
      <w:id w:val="13525337"/>
      <w:docPartObj>
        <w:docPartGallery w:val="autotext"/>
      </w:docPartObj>
    </w:sdtPr>
    <w:sdtEndPr>
      <w:rPr>
        <w:i w:val="0"/>
      </w:rPr>
    </w:sdtEndPr>
    <w:sdtContent>
      <w:p w14:paraId="4FE80EE1">
        <w:pPr>
          <w:rPr>
            <w:i/>
            <w:iCs/>
            <w:szCs w:val="16"/>
          </w:rPr>
        </w:pPr>
      </w:p>
      <w:p w14:paraId="148FABA0"/>
    </w:sdtContent>
  </w:sdt>
  <w:p w14:paraId="66B7E374"/>
  <w:p w14:paraId="379DBA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48195">
    <w:pPr>
      <w:spacing w:after="0"/>
      <w:rPr>
        <w:sz w:val="6"/>
        <w:szCs w:val="6"/>
      </w:rPr>
    </w:pPr>
    <w:r>
      <w:rPr>
        <w:rFonts w:ascii="Calibri" w:hAnsi="Calibri" w:eastAsia="Calibri" w:cs="Times New Roman"/>
        <w:sz w:val="22"/>
      </w:rPr>
      <mc:AlternateContent>
        <mc:Choice Requires="wpg">
          <w:drawing>
            <wp:anchor distT="0" distB="0" distL="114300" distR="114300" simplePos="0" relativeHeight="251660288" behindDoc="0" locked="0" layoutInCell="1" allowOverlap="1">
              <wp:simplePos x="0" y="0"/>
              <wp:positionH relativeFrom="column">
                <wp:posOffset>180975</wp:posOffset>
              </wp:positionH>
              <wp:positionV relativeFrom="paragraph">
                <wp:posOffset>-307340</wp:posOffset>
              </wp:positionV>
              <wp:extent cx="6134735" cy="1062990"/>
              <wp:effectExtent l="4445" t="5080" r="13970" b="17780"/>
              <wp:wrapNone/>
              <wp:docPr id="6" name="Group 6"/>
              <wp:cNvGraphicFramePr/>
              <a:graphic xmlns:a="http://schemas.openxmlformats.org/drawingml/2006/main">
                <a:graphicData uri="http://schemas.microsoft.com/office/word/2010/wordprocessingGroup">
                  <wpg:wgp>
                    <wpg:cNvGrpSpPr/>
                    <wpg:grpSpPr>
                      <a:xfrm>
                        <a:off x="0" y="0"/>
                        <a:ext cx="6134735" cy="1062812"/>
                        <a:chOff x="0" y="0"/>
                        <a:chExt cx="6134735" cy="1062812"/>
                      </a:xfrm>
                    </wpg:grpSpPr>
                    <wps:wsp>
                      <wps:cNvPr id="1" name="Text Box 1"/>
                      <wps:cNvSpPr txBox="1"/>
                      <wps:spPr>
                        <a:xfrm>
                          <a:off x="0" y="0"/>
                          <a:ext cx="6134735" cy="1062812"/>
                        </a:xfrm>
                        <a:prstGeom prst="rect">
                          <a:avLst/>
                        </a:prstGeom>
                        <a:solidFill>
                          <a:sysClr val="window" lastClr="FFFFFF"/>
                        </a:solidFill>
                        <a:ln w="6350">
                          <a:solidFill>
                            <a:prstClr val="black"/>
                          </a:solidFill>
                        </a:ln>
                      </wps:spPr>
                      <wps:txbx>
                        <w:txbxContent>
                          <w:p w14:paraId="16BEC510">
                            <w:r>
                              <w:drawing>
                                <wp:inline distT="0" distB="0" distL="0" distR="0">
                                  <wp:extent cx="923925" cy="1009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4155" cy="1009650"/>
                                          </a:xfrm>
                                          <a:prstGeom prst="rect">
                                            <a:avLst/>
                                          </a:prstGeom>
                                          <a:noFill/>
                                          <a:ln>
                                            <a:noFill/>
                                          </a:ln>
                                        </pic:spPr>
                                      </pic:pic>
                                    </a:graphicData>
                                  </a:graphic>
                                </wp:inline>
                              </w:drawing>
                            </w:r>
                            <w:r>
                              <w:t xml:space="preserve">     </w:t>
                            </w:r>
                            <w:r>
                              <w:drawing>
                                <wp:inline distT="0" distB="0" distL="0" distR="0">
                                  <wp:extent cx="1009015" cy="996315"/>
                                  <wp:effectExtent l="0" t="0" r="635" b="133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09015" cy="996463"/>
                                          </a:xfrm>
                                          <a:prstGeom prst="rect">
                                            <a:avLst/>
                                          </a:prstGeom>
                                          <a:noFill/>
                                          <a:ln>
                                            <a:noFill/>
                                          </a:ln>
                                        </pic:spPr>
                                      </pic:pic>
                                    </a:graphicData>
                                  </a:graphic>
                                </wp:inline>
                              </w:drawing>
                            </w:r>
                            <w:r>
                              <w:t xml:space="preserve">                                                                                                                                           </w:t>
                            </w:r>
                            <w:r>
                              <w:drawing>
                                <wp:inline distT="0" distB="0" distL="0" distR="0">
                                  <wp:extent cx="1009015" cy="996315"/>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09015" cy="996463"/>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Text Box 2"/>
                      <wps:cNvSpPr txBox="1"/>
                      <wps:spPr>
                        <a:xfrm>
                          <a:off x="1092835" y="44128"/>
                          <a:ext cx="3881120" cy="1009792"/>
                        </a:xfrm>
                        <a:prstGeom prst="rect">
                          <a:avLst/>
                        </a:prstGeom>
                        <a:solidFill>
                          <a:sysClr val="window" lastClr="FFFFFF"/>
                        </a:solidFill>
                        <a:ln w="6350">
                          <a:solidFill>
                            <a:prstClr val="black"/>
                          </a:solidFill>
                        </a:ln>
                      </wps:spPr>
                      <wps:txbx>
                        <w:txbxContent>
                          <w:p w14:paraId="3F934746">
                            <w:pPr>
                              <w:spacing w:after="0"/>
                              <w:jc w:val="center"/>
                              <w:rPr>
                                <w:rFonts w:ascii="Rockwell Condensed" w:hAnsi="Rockwell Condensed"/>
                                <w:color w:val="4F6228" w:themeColor="accent3" w:themeShade="80"/>
                                <w:sz w:val="28"/>
                                <w:szCs w:val="28"/>
                              </w:rPr>
                            </w:pPr>
                            <w:r>
                              <w:rPr>
                                <w:rFonts w:ascii="Rockwell Condensed" w:hAnsi="Rockwell Condensed"/>
                                <w:color w:val="4F6228" w:themeColor="accent3" w:themeShade="80"/>
                                <w:sz w:val="28"/>
                                <w:szCs w:val="28"/>
                              </w:rPr>
                              <w:t>JOURNAL OF SCIENTIFIC INNOVATIONS AND CREATIVE RESEARCH</w:t>
                            </w:r>
                          </w:p>
                          <w:p w14:paraId="10222C9D">
                            <w:pPr>
                              <w:spacing w:after="0"/>
                              <w:jc w:val="center"/>
                              <w:rPr>
                                <w:rFonts w:ascii="Rockwell Condensed" w:hAnsi="Rockwell Condensed"/>
                                <w:color w:val="4F6228" w:themeColor="accent3" w:themeShade="80"/>
                                <w:szCs w:val="20"/>
                              </w:rPr>
                            </w:pPr>
                            <w:r>
                              <w:rPr>
                                <w:rFonts w:ascii="Rockwell Condensed" w:hAnsi="Rockwell Condensed"/>
                                <w:color w:val="4F6228" w:themeColor="accent3" w:themeShade="80"/>
                                <w:szCs w:val="20"/>
                              </w:rPr>
                              <w:t>eISSN: xxxxxxxxxxxxxxxxx</w:t>
                            </w:r>
                          </w:p>
                          <w:p w14:paraId="0A1630E5">
                            <w:pPr>
                              <w:spacing w:after="0"/>
                              <w:jc w:val="center"/>
                              <w:rPr>
                                <w:rFonts w:ascii="Rockwell Condensed" w:hAnsi="Rockwell Condensed"/>
                                <w:color w:val="4F6228" w:themeColor="accent3" w:themeShade="80"/>
                                <w:szCs w:val="20"/>
                              </w:rPr>
                            </w:pPr>
                            <w:r>
                              <w:rPr>
                                <w:rFonts w:ascii="Rockwell Condensed" w:hAnsi="Rockwell Condensed"/>
                                <w:color w:val="4F6228" w:themeColor="accent3" w:themeShade="80"/>
                                <w:szCs w:val="20"/>
                              </w:rPr>
                              <w:t>DOI: xxxxxxxxxxxxxxxxxxx</w:t>
                            </w:r>
                          </w:p>
                          <w:p w14:paraId="105E7AF7">
                            <w:pPr>
                              <w:spacing w:after="0"/>
                              <w:jc w:val="center"/>
                              <w:rPr>
                                <w:rFonts w:ascii="Rockwell Condensed" w:hAnsi="Rockwell Condensed"/>
                                <w:szCs w:val="20"/>
                              </w:rPr>
                            </w:pPr>
                            <w:r>
                              <w:rPr>
                                <w:rFonts w:ascii="Rockwell Condensed" w:hAnsi="Rockwell Condensed"/>
                                <w:color w:val="4F6228" w:themeColor="accent3" w:themeShade="80"/>
                                <w:szCs w:val="20"/>
                              </w:rPr>
                              <w:t>Journal Homepage</w:t>
                            </w:r>
                            <w:r>
                              <w:rPr>
                                <w:rFonts w:ascii="Rockwell Condensed" w:hAnsi="Rockwell Condensed"/>
                                <w:szCs w:val="20"/>
                              </w:rPr>
                              <w:t xml:space="preserve">: </w:t>
                            </w:r>
                            <w:r>
                              <w:fldChar w:fldCharType="begin"/>
                            </w:r>
                            <w:r>
                              <w:instrText xml:space="preserve"> HYPERLINK "https://jsicr.org" </w:instrText>
                            </w:r>
                            <w:r>
                              <w:fldChar w:fldCharType="separate"/>
                            </w:r>
                            <w:r>
                              <w:rPr>
                                <w:rStyle w:val="16"/>
                                <w:rFonts w:ascii="Rockwell Condensed" w:hAnsi="Rockwell Condensed"/>
                                <w:szCs w:val="20"/>
                              </w:rPr>
                              <w:t>https://jsicr.org</w:t>
                            </w:r>
                            <w:r>
                              <w:rPr>
                                <w:rStyle w:val="16"/>
                                <w:rFonts w:ascii="Rockwell Condensed" w:hAnsi="Rockwell Condensed"/>
                                <w:szCs w:val="20"/>
                              </w:rPr>
                              <w:fldChar w:fldCharType="end"/>
                            </w:r>
                            <w:r>
                              <w:rPr>
                                <w:rFonts w:ascii="Rockwell Condensed" w:hAnsi="Rockwell Condensed"/>
                                <w:szCs w:val="20"/>
                              </w:rPr>
                              <w:t xml:space="preserve"> </w:t>
                            </w:r>
                          </w:p>
                          <w:p w14:paraId="13A00AEF">
                            <w:pPr>
                              <w:jc w:val="center"/>
                              <w:rPr>
                                <w:rFonts w:ascii="Rockwell Condensed" w:hAnsi="Rockwell Condensed"/>
                                <w:szCs w:val="20"/>
                              </w:rPr>
                            </w:pPr>
                          </w:p>
                          <w:p w14:paraId="7DD024F3">
                            <w:pPr>
                              <w:jc w:val="center"/>
                              <w:rPr>
                                <w:rFonts w:ascii="Rockwell Condensed" w:hAnsi="Rockwell Condensed"/>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4.25pt;margin-top:-24.2pt;height:83.7pt;width:483.05pt;z-index:251660288;mso-width-relative:page;mso-height-relative:page;" coordsize="6134735,1062812" o:gfxdata="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IK8gr2wAAAAoBAAAPAAAAAAAAAAEAIAAAACIAAABkcnMvZG93bnJl&#10;di54bWxQSwECFAAUAAAACACHTuJAUDbugN4CAADqCAAADgAAAAAAAAABACAAAAAqAQAAZHJzL2Uy&#10;b0RvYy54bWxQSwUGAAAAAAYABgBZAQAAegYAAAAA&#10;">
              <o:lock v:ext="edit" aspectratio="f"/>
              <v:shape id="_x0000_s1026" o:spid="_x0000_s1026" o:spt="202" type="#_x0000_t202" style="position:absolute;left:0;top:0;height:1062812;width:6134735;" fillcolor="#FFFFFF"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16BEC510">
                      <w:r>
                        <w:drawing>
                          <wp:inline distT="0" distB="0" distL="0" distR="0">
                            <wp:extent cx="923925" cy="1009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4155" cy="1009650"/>
                                    </a:xfrm>
                                    <a:prstGeom prst="rect">
                                      <a:avLst/>
                                    </a:prstGeom>
                                    <a:noFill/>
                                    <a:ln>
                                      <a:noFill/>
                                    </a:ln>
                                  </pic:spPr>
                                </pic:pic>
                              </a:graphicData>
                            </a:graphic>
                          </wp:inline>
                        </w:drawing>
                      </w:r>
                      <w:r>
                        <w:t xml:space="preserve">     </w:t>
                      </w:r>
                      <w:r>
                        <w:drawing>
                          <wp:inline distT="0" distB="0" distL="0" distR="0">
                            <wp:extent cx="1009015" cy="996315"/>
                            <wp:effectExtent l="0" t="0" r="635" b="133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09015" cy="996463"/>
                                    </a:xfrm>
                                    <a:prstGeom prst="rect">
                                      <a:avLst/>
                                    </a:prstGeom>
                                    <a:noFill/>
                                    <a:ln>
                                      <a:noFill/>
                                    </a:ln>
                                  </pic:spPr>
                                </pic:pic>
                              </a:graphicData>
                            </a:graphic>
                          </wp:inline>
                        </w:drawing>
                      </w:r>
                      <w:r>
                        <w:t xml:space="preserve">                                                                                                                                           </w:t>
                      </w:r>
                      <w:r>
                        <w:drawing>
                          <wp:inline distT="0" distB="0" distL="0" distR="0">
                            <wp:extent cx="1009015" cy="996315"/>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09015" cy="996463"/>
                                    </a:xfrm>
                                    <a:prstGeom prst="rect">
                                      <a:avLst/>
                                    </a:prstGeom>
                                    <a:noFill/>
                                    <a:ln>
                                      <a:noFill/>
                                    </a:ln>
                                  </pic:spPr>
                                </pic:pic>
                              </a:graphicData>
                            </a:graphic>
                          </wp:inline>
                        </w:drawing>
                      </w:r>
                      <w:r>
                        <w:t xml:space="preserve">                                                                                                </w:t>
                      </w:r>
                    </w:p>
                  </w:txbxContent>
                </v:textbox>
              </v:shape>
              <v:shape id="_x0000_s1026" o:spid="_x0000_s1026" o:spt="202" type="#_x0000_t202" style="position:absolute;left:1092835;top:44128;height:1009792;width:3881120;" fillcolor="#FFFFFF" filled="t" stroked="t" coordsize="21600,21600" o:gfxdata="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bwNh+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3F934746">
                      <w:pPr>
                        <w:spacing w:after="0"/>
                        <w:jc w:val="center"/>
                        <w:rPr>
                          <w:rFonts w:ascii="Rockwell Condensed" w:hAnsi="Rockwell Condensed"/>
                          <w:color w:val="4F6228" w:themeColor="accent3" w:themeShade="80"/>
                          <w:sz w:val="28"/>
                          <w:szCs w:val="28"/>
                        </w:rPr>
                      </w:pPr>
                      <w:r>
                        <w:rPr>
                          <w:rFonts w:ascii="Rockwell Condensed" w:hAnsi="Rockwell Condensed"/>
                          <w:color w:val="4F6228" w:themeColor="accent3" w:themeShade="80"/>
                          <w:sz w:val="28"/>
                          <w:szCs w:val="28"/>
                        </w:rPr>
                        <w:t>JOURNAL OF SCIENTIFIC INNOVATIONS AND CREATIVE RESEARCH</w:t>
                      </w:r>
                    </w:p>
                    <w:p w14:paraId="10222C9D">
                      <w:pPr>
                        <w:spacing w:after="0"/>
                        <w:jc w:val="center"/>
                        <w:rPr>
                          <w:rFonts w:ascii="Rockwell Condensed" w:hAnsi="Rockwell Condensed"/>
                          <w:color w:val="4F6228" w:themeColor="accent3" w:themeShade="80"/>
                          <w:szCs w:val="20"/>
                        </w:rPr>
                      </w:pPr>
                      <w:r>
                        <w:rPr>
                          <w:rFonts w:ascii="Rockwell Condensed" w:hAnsi="Rockwell Condensed"/>
                          <w:color w:val="4F6228" w:themeColor="accent3" w:themeShade="80"/>
                          <w:szCs w:val="20"/>
                        </w:rPr>
                        <w:t>eISSN: xxxxxxxxxxxxxxxxx</w:t>
                      </w:r>
                    </w:p>
                    <w:p w14:paraId="0A1630E5">
                      <w:pPr>
                        <w:spacing w:after="0"/>
                        <w:jc w:val="center"/>
                        <w:rPr>
                          <w:rFonts w:ascii="Rockwell Condensed" w:hAnsi="Rockwell Condensed"/>
                          <w:color w:val="4F6228" w:themeColor="accent3" w:themeShade="80"/>
                          <w:szCs w:val="20"/>
                        </w:rPr>
                      </w:pPr>
                      <w:r>
                        <w:rPr>
                          <w:rFonts w:ascii="Rockwell Condensed" w:hAnsi="Rockwell Condensed"/>
                          <w:color w:val="4F6228" w:themeColor="accent3" w:themeShade="80"/>
                          <w:szCs w:val="20"/>
                        </w:rPr>
                        <w:t>DOI: xxxxxxxxxxxxxxxxxxx</w:t>
                      </w:r>
                    </w:p>
                    <w:p w14:paraId="105E7AF7">
                      <w:pPr>
                        <w:spacing w:after="0"/>
                        <w:jc w:val="center"/>
                        <w:rPr>
                          <w:rFonts w:ascii="Rockwell Condensed" w:hAnsi="Rockwell Condensed"/>
                          <w:szCs w:val="20"/>
                        </w:rPr>
                      </w:pPr>
                      <w:r>
                        <w:rPr>
                          <w:rFonts w:ascii="Rockwell Condensed" w:hAnsi="Rockwell Condensed"/>
                          <w:color w:val="4F6228" w:themeColor="accent3" w:themeShade="80"/>
                          <w:szCs w:val="20"/>
                        </w:rPr>
                        <w:t>Journal Homepage</w:t>
                      </w:r>
                      <w:r>
                        <w:rPr>
                          <w:rFonts w:ascii="Rockwell Condensed" w:hAnsi="Rockwell Condensed"/>
                          <w:szCs w:val="20"/>
                        </w:rPr>
                        <w:t xml:space="preserve">: </w:t>
                      </w:r>
                      <w:r>
                        <w:fldChar w:fldCharType="begin"/>
                      </w:r>
                      <w:r>
                        <w:instrText xml:space="preserve"> HYPERLINK "https://jsicr.org" </w:instrText>
                      </w:r>
                      <w:r>
                        <w:fldChar w:fldCharType="separate"/>
                      </w:r>
                      <w:r>
                        <w:rPr>
                          <w:rStyle w:val="16"/>
                          <w:rFonts w:ascii="Rockwell Condensed" w:hAnsi="Rockwell Condensed"/>
                          <w:szCs w:val="20"/>
                        </w:rPr>
                        <w:t>https://jsicr.org</w:t>
                      </w:r>
                      <w:r>
                        <w:rPr>
                          <w:rStyle w:val="16"/>
                          <w:rFonts w:ascii="Rockwell Condensed" w:hAnsi="Rockwell Condensed"/>
                          <w:szCs w:val="20"/>
                        </w:rPr>
                        <w:fldChar w:fldCharType="end"/>
                      </w:r>
                      <w:r>
                        <w:rPr>
                          <w:rFonts w:ascii="Rockwell Condensed" w:hAnsi="Rockwell Condensed"/>
                          <w:szCs w:val="20"/>
                        </w:rPr>
                        <w:t xml:space="preserve"> </w:t>
                      </w:r>
                    </w:p>
                    <w:p w14:paraId="13A00AEF">
                      <w:pPr>
                        <w:jc w:val="center"/>
                        <w:rPr>
                          <w:rFonts w:ascii="Rockwell Condensed" w:hAnsi="Rockwell Condensed"/>
                          <w:szCs w:val="20"/>
                        </w:rPr>
                      </w:pPr>
                    </w:p>
                    <w:p w14:paraId="7DD024F3">
                      <w:pPr>
                        <w:jc w:val="center"/>
                        <w:rPr>
                          <w:rFonts w:ascii="Rockwell Condensed" w:hAnsi="Rockwell Condensed"/>
                          <w:sz w:val="32"/>
                          <w:szCs w:val="32"/>
                        </w:rPr>
                      </w:pPr>
                    </w:p>
                  </w:txbxContent>
                </v:textbox>
              </v:shape>
            </v:group>
          </w:pict>
        </mc:Fallback>
      </mc:AlternateContent>
    </w:r>
  </w:p>
  <w:p w14:paraId="6A7C299D">
    <w:pPr>
      <w:spacing w:after="0"/>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E30FD"/>
    <w:multiLevelType w:val="multilevel"/>
    <w:tmpl w:val="08FE30FD"/>
    <w:lvl w:ilvl="0" w:tentative="0">
      <w:start w:val="1"/>
      <w:numFmt w:val="decimal"/>
      <w:pStyle w:val="36"/>
      <w:lvlText w:val="[%1]"/>
      <w:lvlJc w:val="left"/>
      <w:pPr>
        <w:ind w:left="720" w:hanging="360"/>
      </w:pPr>
      <w:rPr>
        <w:rFonts w:hint="default" w:ascii="Cambria" w:hAnsi="Cambria"/>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069112E"/>
    <w:multiLevelType w:val="multilevel"/>
    <w:tmpl w:val="5069112E"/>
    <w:lvl w:ilvl="0" w:tentative="0">
      <w:start w:val="1"/>
      <w:numFmt w:val="decimal"/>
      <w:pStyle w:val="2"/>
      <w:suff w:val="space"/>
      <w:lvlText w:val="%1."/>
      <w:lvlJc w:val="left"/>
      <w:pPr>
        <w:ind w:left="0" w:firstLine="0"/>
      </w:pPr>
      <w:rPr>
        <w:rFonts w:hint="default"/>
      </w:rPr>
    </w:lvl>
    <w:lvl w:ilvl="1" w:tentative="0">
      <w:start w:val="1"/>
      <w:numFmt w:val="decimal"/>
      <w:pStyle w:val="3"/>
      <w:suff w:val="space"/>
      <w:lvlText w:val="%1.%2."/>
      <w:lvlJc w:val="left"/>
      <w:pPr>
        <w:ind w:left="0" w:firstLine="0"/>
      </w:pPr>
      <w:rPr>
        <w:rFonts w:hint="default"/>
      </w:rPr>
    </w:lvl>
    <w:lvl w:ilvl="2" w:tentative="0">
      <w:start w:val="1"/>
      <w:numFmt w:val="decimal"/>
      <w:pStyle w:val="4"/>
      <w:suff w:val="space"/>
      <w:lvlText w:val="%1.%2.%3."/>
      <w:lvlJc w:val="left"/>
      <w:pPr>
        <w:ind w:left="0" w:firstLine="0"/>
      </w:pPr>
      <w:rPr>
        <w:rFonts w:hint="default"/>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720"/>
  <w:drawingGridHorizontalSpacing w:val="10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8B"/>
    <w:rsid w:val="00016FDB"/>
    <w:rsid w:val="00094BED"/>
    <w:rsid w:val="000A1760"/>
    <w:rsid w:val="000D0505"/>
    <w:rsid w:val="000E3176"/>
    <w:rsid w:val="000E3B0F"/>
    <w:rsid w:val="000F13F4"/>
    <w:rsid w:val="00102967"/>
    <w:rsid w:val="00126044"/>
    <w:rsid w:val="0013279F"/>
    <w:rsid w:val="0013687C"/>
    <w:rsid w:val="00152425"/>
    <w:rsid w:val="00166BD5"/>
    <w:rsid w:val="00175487"/>
    <w:rsid w:val="00177D20"/>
    <w:rsid w:val="00185EBF"/>
    <w:rsid w:val="00193FE2"/>
    <w:rsid w:val="001A251A"/>
    <w:rsid w:val="001A533E"/>
    <w:rsid w:val="001B0AD8"/>
    <w:rsid w:val="001B543C"/>
    <w:rsid w:val="001C5679"/>
    <w:rsid w:val="001F521E"/>
    <w:rsid w:val="00205EA3"/>
    <w:rsid w:val="0022078E"/>
    <w:rsid w:val="002226BA"/>
    <w:rsid w:val="00223E06"/>
    <w:rsid w:val="00246005"/>
    <w:rsid w:val="00254D81"/>
    <w:rsid w:val="002644E1"/>
    <w:rsid w:val="00266F81"/>
    <w:rsid w:val="002D6DC3"/>
    <w:rsid w:val="002E72A2"/>
    <w:rsid w:val="00316D09"/>
    <w:rsid w:val="00321144"/>
    <w:rsid w:val="00327B0A"/>
    <w:rsid w:val="003413C3"/>
    <w:rsid w:val="00343F0C"/>
    <w:rsid w:val="003508AA"/>
    <w:rsid w:val="00357452"/>
    <w:rsid w:val="0037464C"/>
    <w:rsid w:val="003836C2"/>
    <w:rsid w:val="003A40B4"/>
    <w:rsid w:val="003C6513"/>
    <w:rsid w:val="003E7F62"/>
    <w:rsid w:val="003F506D"/>
    <w:rsid w:val="004251EE"/>
    <w:rsid w:val="00432D23"/>
    <w:rsid w:val="004425D6"/>
    <w:rsid w:val="0045050B"/>
    <w:rsid w:val="004B1D8C"/>
    <w:rsid w:val="004C2847"/>
    <w:rsid w:val="004D4CE3"/>
    <w:rsid w:val="004D70F1"/>
    <w:rsid w:val="00506BE7"/>
    <w:rsid w:val="00510DE1"/>
    <w:rsid w:val="005113A5"/>
    <w:rsid w:val="00513583"/>
    <w:rsid w:val="0052284C"/>
    <w:rsid w:val="005434AF"/>
    <w:rsid w:val="00544BDA"/>
    <w:rsid w:val="00565E52"/>
    <w:rsid w:val="00580AD9"/>
    <w:rsid w:val="005850CB"/>
    <w:rsid w:val="005A5EBE"/>
    <w:rsid w:val="005C1FD9"/>
    <w:rsid w:val="005C7AB3"/>
    <w:rsid w:val="005D1B76"/>
    <w:rsid w:val="005D5D19"/>
    <w:rsid w:val="00602A48"/>
    <w:rsid w:val="006131FC"/>
    <w:rsid w:val="006225B0"/>
    <w:rsid w:val="00623FCE"/>
    <w:rsid w:val="00634D37"/>
    <w:rsid w:val="00635592"/>
    <w:rsid w:val="006960A2"/>
    <w:rsid w:val="00696A47"/>
    <w:rsid w:val="006C1516"/>
    <w:rsid w:val="006D1415"/>
    <w:rsid w:val="006F226D"/>
    <w:rsid w:val="0070006C"/>
    <w:rsid w:val="007149F0"/>
    <w:rsid w:val="00715716"/>
    <w:rsid w:val="00722EF2"/>
    <w:rsid w:val="00736D6E"/>
    <w:rsid w:val="007548FB"/>
    <w:rsid w:val="0076100D"/>
    <w:rsid w:val="0076550A"/>
    <w:rsid w:val="00780EED"/>
    <w:rsid w:val="00782D52"/>
    <w:rsid w:val="007A4E9B"/>
    <w:rsid w:val="007B50EF"/>
    <w:rsid w:val="007D04F3"/>
    <w:rsid w:val="007D29AC"/>
    <w:rsid w:val="007F3B8F"/>
    <w:rsid w:val="00807A5B"/>
    <w:rsid w:val="00813385"/>
    <w:rsid w:val="00821592"/>
    <w:rsid w:val="00826A71"/>
    <w:rsid w:val="00892062"/>
    <w:rsid w:val="008A4F1B"/>
    <w:rsid w:val="008A59B2"/>
    <w:rsid w:val="008D36DF"/>
    <w:rsid w:val="008D4A7E"/>
    <w:rsid w:val="008D6476"/>
    <w:rsid w:val="00903B8A"/>
    <w:rsid w:val="00903C72"/>
    <w:rsid w:val="00907BD2"/>
    <w:rsid w:val="00925D51"/>
    <w:rsid w:val="00934542"/>
    <w:rsid w:val="0097689C"/>
    <w:rsid w:val="009A58A7"/>
    <w:rsid w:val="009D6CDD"/>
    <w:rsid w:val="009E016C"/>
    <w:rsid w:val="009E5A60"/>
    <w:rsid w:val="009F72F7"/>
    <w:rsid w:val="00A0469F"/>
    <w:rsid w:val="00A1526F"/>
    <w:rsid w:val="00A251EF"/>
    <w:rsid w:val="00A2646C"/>
    <w:rsid w:val="00A40899"/>
    <w:rsid w:val="00A41EA8"/>
    <w:rsid w:val="00A51DBC"/>
    <w:rsid w:val="00A70447"/>
    <w:rsid w:val="00A86D8A"/>
    <w:rsid w:val="00A92586"/>
    <w:rsid w:val="00AA27E6"/>
    <w:rsid w:val="00AA4964"/>
    <w:rsid w:val="00AB3DB2"/>
    <w:rsid w:val="00AF1BDA"/>
    <w:rsid w:val="00B04522"/>
    <w:rsid w:val="00B06B47"/>
    <w:rsid w:val="00B1017D"/>
    <w:rsid w:val="00B17C3A"/>
    <w:rsid w:val="00B21B2B"/>
    <w:rsid w:val="00B2744F"/>
    <w:rsid w:val="00B363E9"/>
    <w:rsid w:val="00B37A60"/>
    <w:rsid w:val="00B648CA"/>
    <w:rsid w:val="00B90126"/>
    <w:rsid w:val="00BA1A88"/>
    <w:rsid w:val="00C205B0"/>
    <w:rsid w:val="00C30EF8"/>
    <w:rsid w:val="00C476FF"/>
    <w:rsid w:val="00C5504A"/>
    <w:rsid w:val="00C70CBE"/>
    <w:rsid w:val="00C74478"/>
    <w:rsid w:val="00C90689"/>
    <w:rsid w:val="00C9122C"/>
    <w:rsid w:val="00CA316C"/>
    <w:rsid w:val="00CB7279"/>
    <w:rsid w:val="00CF1B1F"/>
    <w:rsid w:val="00D16EA5"/>
    <w:rsid w:val="00D17465"/>
    <w:rsid w:val="00D216E8"/>
    <w:rsid w:val="00D37673"/>
    <w:rsid w:val="00D52A44"/>
    <w:rsid w:val="00D54CE3"/>
    <w:rsid w:val="00D57CE7"/>
    <w:rsid w:val="00D60F44"/>
    <w:rsid w:val="00D71C45"/>
    <w:rsid w:val="00D85736"/>
    <w:rsid w:val="00DA1702"/>
    <w:rsid w:val="00DB0FE3"/>
    <w:rsid w:val="00DC5306"/>
    <w:rsid w:val="00DD311E"/>
    <w:rsid w:val="00DF3565"/>
    <w:rsid w:val="00DF3D8A"/>
    <w:rsid w:val="00DF4B87"/>
    <w:rsid w:val="00E053AC"/>
    <w:rsid w:val="00E10301"/>
    <w:rsid w:val="00E320A8"/>
    <w:rsid w:val="00E41FF7"/>
    <w:rsid w:val="00E42D55"/>
    <w:rsid w:val="00E53E4D"/>
    <w:rsid w:val="00E74EEE"/>
    <w:rsid w:val="00E777B9"/>
    <w:rsid w:val="00E8131E"/>
    <w:rsid w:val="00E85AEC"/>
    <w:rsid w:val="00E870CE"/>
    <w:rsid w:val="00E879B2"/>
    <w:rsid w:val="00EC5EB7"/>
    <w:rsid w:val="00F01CD2"/>
    <w:rsid w:val="00F04A82"/>
    <w:rsid w:val="00F1723F"/>
    <w:rsid w:val="00F21FE9"/>
    <w:rsid w:val="00F23FFA"/>
    <w:rsid w:val="00F37A78"/>
    <w:rsid w:val="00F52503"/>
    <w:rsid w:val="00F5472C"/>
    <w:rsid w:val="00F6052B"/>
    <w:rsid w:val="00F667CA"/>
    <w:rsid w:val="00F87703"/>
    <w:rsid w:val="00F92038"/>
    <w:rsid w:val="00F92885"/>
    <w:rsid w:val="00F948C2"/>
    <w:rsid w:val="00FA25C1"/>
    <w:rsid w:val="00FA5DDE"/>
    <w:rsid w:val="00FB13FF"/>
    <w:rsid w:val="00FB5E23"/>
    <w:rsid w:val="00FB62B5"/>
    <w:rsid w:val="00FC2226"/>
    <w:rsid w:val="00FE7E8B"/>
    <w:rsid w:val="00FF706A"/>
    <w:rsid w:val="18FC3C77"/>
    <w:rsid w:val="3ADD56DB"/>
    <w:rsid w:val="49801C26"/>
    <w:rsid w:val="4E1572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jc w:val="both"/>
    </w:pPr>
    <w:rPr>
      <w:rFonts w:ascii="Cambria" w:hAnsi="Cambria" w:eastAsiaTheme="minorEastAsia" w:cstheme="minorBidi"/>
      <w:sz w:val="20"/>
      <w:szCs w:val="22"/>
      <w:lang w:val="en-US" w:eastAsia="en-US" w:bidi="ar-SA"/>
    </w:rPr>
  </w:style>
  <w:style w:type="paragraph" w:styleId="2">
    <w:name w:val="heading 1"/>
    <w:basedOn w:val="1"/>
    <w:next w:val="1"/>
    <w:link w:val="19"/>
    <w:autoRedefine/>
    <w:qFormat/>
    <w:uiPriority w:val="9"/>
    <w:pPr>
      <w:keepNext/>
      <w:numPr>
        <w:ilvl w:val="0"/>
        <w:numId w:val="1"/>
      </w:numPr>
      <w:pBdr>
        <w:top w:val="single" w:color="A5A5A5" w:themeColor="background1" w:themeShade="A6" w:sz="12" w:space="6"/>
      </w:pBdr>
      <w:spacing w:before="240" w:after="120"/>
      <w:jc w:val="left"/>
      <w:outlineLvl w:val="0"/>
    </w:pPr>
    <w:rPr>
      <w:rFonts w:eastAsia="Times New Roman" w:cs="Times New Roman"/>
      <w:b/>
      <w:bCs/>
      <w:sz w:val="22"/>
      <w:szCs w:val="20"/>
      <w:lang w:val="en-GB"/>
    </w:rPr>
  </w:style>
  <w:style w:type="paragraph" w:styleId="3">
    <w:name w:val="heading 2"/>
    <w:basedOn w:val="1"/>
    <w:next w:val="1"/>
    <w:link w:val="20"/>
    <w:unhideWhenUsed/>
    <w:qFormat/>
    <w:uiPriority w:val="9"/>
    <w:pPr>
      <w:numPr>
        <w:ilvl w:val="1"/>
        <w:numId w:val="1"/>
      </w:numPr>
      <w:spacing w:before="240" w:after="120"/>
      <w:jc w:val="left"/>
      <w:outlineLvl w:val="1"/>
    </w:pPr>
    <w:rPr>
      <w:rFonts w:eastAsia="Times New Roman" w:cs="Times New Roman"/>
      <w:b/>
      <w:bCs/>
      <w:szCs w:val="20"/>
    </w:rPr>
  </w:style>
  <w:style w:type="paragraph" w:styleId="4">
    <w:name w:val="heading 3"/>
    <w:basedOn w:val="1"/>
    <w:next w:val="1"/>
    <w:link w:val="21"/>
    <w:autoRedefine/>
    <w:unhideWhenUsed/>
    <w:qFormat/>
    <w:uiPriority w:val="9"/>
    <w:pPr>
      <w:keepNext/>
      <w:keepLines/>
      <w:numPr>
        <w:ilvl w:val="2"/>
        <w:numId w:val="1"/>
      </w:numPr>
      <w:spacing w:before="200" w:after="120"/>
      <w:outlineLvl w:val="2"/>
    </w:pPr>
    <w:rPr>
      <w:rFonts w:eastAsiaTheme="majorEastAsia" w:cstheme="majorBidi"/>
      <w:bCs/>
      <w:i/>
      <w:szCs w:val="20"/>
    </w:rPr>
  </w:style>
  <w:style w:type="paragraph" w:styleId="5">
    <w:name w:val="heading 4"/>
    <w:basedOn w:val="1"/>
    <w:next w:val="1"/>
    <w:link w:val="22"/>
    <w:semiHidden/>
    <w:unhideWhenUsed/>
    <w:qFormat/>
    <w:uiPriority w:val="9"/>
    <w:pPr>
      <w:keepNext/>
      <w:keepLines/>
      <w:spacing w:before="240" w:after="120"/>
      <w:jc w:val="left"/>
      <w:outlineLvl w:val="3"/>
    </w:pPr>
    <w:rPr>
      <w:rFonts w:eastAsiaTheme="majorEastAsia" w:cstheme="majorBidi"/>
      <w:bCs/>
      <w:iCs/>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44"/>
    <w:semiHidden/>
    <w:unhideWhenUsed/>
    <w:uiPriority w:val="99"/>
    <w:pPr>
      <w:spacing w:after="0"/>
    </w:pPr>
    <w:rPr>
      <w:rFonts w:ascii="Tahoma" w:hAnsi="Tahoma" w:cs="Tahoma"/>
      <w:sz w:val="16"/>
      <w:szCs w:val="16"/>
    </w:rPr>
  </w:style>
  <w:style w:type="paragraph" w:styleId="9">
    <w:name w:val="Body Text"/>
    <w:basedOn w:val="1"/>
    <w:link w:val="56"/>
    <w:qFormat/>
    <w:uiPriority w:val="1"/>
    <w:pPr>
      <w:widowControl w:val="0"/>
      <w:autoSpaceDE w:val="0"/>
      <w:autoSpaceDN w:val="0"/>
      <w:spacing w:after="0"/>
      <w:jc w:val="left"/>
    </w:pPr>
    <w:rPr>
      <w:rFonts w:ascii="Times New Roman" w:hAnsi="Times New Roman" w:eastAsia="Times New Roman" w:cs="Times New Roman"/>
      <w:szCs w:val="20"/>
      <w:lang w:val="zh-CN" w:eastAsia="zh-CN"/>
    </w:rPr>
  </w:style>
  <w:style w:type="character" w:styleId="10">
    <w:name w:val="Emphasis"/>
    <w:basedOn w:val="6"/>
    <w:qFormat/>
    <w:uiPriority w:val="20"/>
    <w:rPr>
      <w:i/>
      <w:iCs/>
    </w:rPr>
  </w:style>
  <w:style w:type="character" w:styleId="11">
    <w:name w:val="FollowedHyperlink"/>
    <w:basedOn w:val="6"/>
    <w:semiHidden/>
    <w:unhideWhenUsed/>
    <w:qFormat/>
    <w:uiPriority w:val="99"/>
    <w:rPr>
      <w:color w:val="800080" w:themeColor="followedHyperlink"/>
      <w:u w:val="single"/>
      <w14:textFill>
        <w14:solidFill>
          <w14:schemeClr w14:val="folHlink"/>
        </w14:solidFill>
      </w14:textFill>
    </w:rPr>
  </w:style>
  <w:style w:type="paragraph" w:styleId="12">
    <w:name w:val="footer"/>
    <w:basedOn w:val="1"/>
    <w:link w:val="23"/>
    <w:unhideWhenUsed/>
    <w:qFormat/>
    <w:uiPriority w:val="99"/>
    <w:pPr>
      <w:tabs>
        <w:tab w:val="center" w:pos="4680"/>
        <w:tab w:val="right" w:pos="9360"/>
      </w:tabs>
      <w:spacing w:after="0"/>
    </w:pPr>
  </w:style>
  <w:style w:type="character" w:styleId="13">
    <w:name w:val="footnote reference"/>
    <w:basedOn w:val="6"/>
    <w:semiHidden/>
    <w:unhideWhenUsed/>
    <w:qFormat/>
    <w:uiPriority w:val="0"/>
    <w:rPr>
      <w:vertAlign w:val="superscript"/>
    </w:rPr>
  </w:style>
  <w:style w:type="paragraph" w:styleId="14">
    <w:name w:val="footnote text"/>
    <w:basedOn w:val="1"/>
    <w:link w:val="39"/>
    <w:semiHidden/>
    <w:unhideWhenUsed/>
    <w:qFormat/>
    <w:uiPriority w:val="99"/>
    <w:pPr>
      <w:spacing w:after="0"/>
    </w:pPr>
    <w:rPr>
      <w:szCs w:val="20"/>
    </w:rPr>
  </w:style>
  <w:style w:type="paragraph" w:styleId="15">
    <w:name w:val="HTML Preformatted"/>
    <w:basedOn w:val="1"/>
    <w:link w:val="5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szCs w:val="20"/>
      <w:lang w:val="id-ID" w:eastAsia="id-ID"/>
    </w:rPr>
  </w:style>
  <w:style w:type="character" w:styleId="16">
    <w:name w:val="Hyperlink"/>
    <w:basedOn w:val="6"/>
    <w:unhideWhenUsed/>
    <w:qFormat/>
    <w:uiPriority w:val="99"/>
    <w:rPr>
      <w:color w:val="0000FF" w:themeColor="hyperlink"/>
      <w:u w:val="single"/>
      <w14:textFill>
        <w14:solidFill>
          <w14:schemeClr w14:val="hlink"/>
        </w14:solidFill>
      </w14:textFill>
    </w:rPr>
  </w:style>
  <w:style w:type="paragraph" w:styleId="17">
    <w:name w:val="Normal (Web)"/>
    <w:basedOn w:val="1"/>
    <w:unhideWhenUsed/>
    <w:qFormat/>
    <w:uiPriority w:val="99"/>
    <w:pPr>
      <w:spacing w:before="100" w:beforeAutospacing="1" w:after="100" w:afterAutospacing="1"/>
      <w:jc w:val="left"/>
    </w:pPr>
    <w:rPr>
      <w:rFonts w:ascii="Times New Roman" w:hAnsi="Times New Roman" w:eastAsia="Times New Roman" w:cs="Times New Roman"/>
      <w:sz w:val="24"/>
      <w:szCs w:val="24"/>
      <w:lang w:val="id-ID" w:eastAsia="id-ID"/>
    </w:rPr>
  </w:style>
  <w:style w:type="table" w:styleId="18">
    <w:name w:val="Table Grid"/>
    <w:basedOn w:val="7"/>
    <w:qFormat/>
    <w:uiPriority w:val="59"/>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9">
    <w:name w:val="Heading 1 Char"/>
    <w:basedOn w:val="6"/>
    <w:link w:val="2"/>
    <w:qFormat/>
    <w:uiPriority w:val="9"/>
    <w:rPr>
      <w:rFonts w:ascii="Cambria" w:hAnsi="Cambria" w:eastAsia="Times New Roman" w:cs="Times New Roman"/>
      <w:b/>
      <w:bCs/>
      <w:szCs w:val="20"/>
      <w:lang w:val="en-GB"/>
    </w:rPr>
  </w:style>
  <w:style w:type="character" w:customStyle="1" w:styleId="20">
    <w:name w:val="Heading 2 Char"/>
    <w:basedOn w:val="6"/>
    <w:link w:val="3"/>
    <w:qFormat/>
    <w:uiPriority w:val="0"/>
    <w:rPr>
      <w:rFonts w:ascii="Cambria" w:hAnsi="Cambria" w:eastAsia="Times New Roman" w:cs="Times New Roman"/>
      <w:b/>
      <w:bCs/>
      <w:sz w:val="20"/>
      <w:szCs w:val="20"/>
    </w:rPr>
  </w:style>
  <w:style w:type="character" w:customStyle="1" w:styleId="21">
    <w:name w:val="Heading 3 Char"/>
    <w:basedOn w:val="6"/>
    <w:link w:val="4"/>
    <w:qFormat/>
    <w:uiPriority w:val="9"/>
    <w:rPr>
      <w:rFonts w:ascii="Cambria" w:hAnsi="Cambria" w:eastAsiaTheme="majorEastAsia" w:cstheme="majorBidi"/>
      <w:bCs/>
      <w:i/>
      <w:sz w:val="20"/>
      <w:szCs w:val="20"/>
    </w:rPr>
  </w:style>
  <w:style w:type="character" w:customStyle="1" w:styleId="22">
    <w:name w:val="Heading 4 Char"/>
    <w:basedOn w:val="6"/>
    <w:link w:val="5"/>
    <w:semiHidden/>
    <w:qFormat/>
    <w:uiPriority w:val="9"/>
    <w:rPr>
      <w:rFonts w:ascii="Cambria" w:hAnsi="Cambria" w:eastAsiaTheme="majorEastAsia" w:cstheme="majorBidi"/>
      <w:bCs/>
      <w:iCs/>
      <w:sz w:val="20"/>
    </w:rPr>
  </w:style>
  <w:style w:type="character" w:customStyle="1" w:styleId="23">
    <w:name w:val="Footer Char"/>
    <w:basedOn w:val="6"/>
    <w:link w:val="12"/>
    <w:qFormat/>
    <w:uiPriority w:val="99"/>
    <w:rPr>
      <w:rFonts w:ascii="Cambria" w:hAnsi="Cambria"/>
      <w:sz w:val="20"/>
    </w:rPr>
  </w:style>
  <w:style w:type="paragraph" w:customStyle="1" w:styleId="24">
    <w:name w:val="Journal name in header"/>
    <w:basedOn w:val="1"/>
    <w:qFormat/>
    <w:uiPriority w:val="0"/>
    <w:pPr>
      <w:widowControl w:val="0"/>
      <w:spacing w:before="60" w:after="0"/>
      <w:ind w:firstLine="230"/>
      <w:jc w:val="center"/>
    </w:pPr>
    <w:rPr>
      <w:rFonts w:eastAsia="Times New Roman" w:cs="Times New Roman"/>
      <w:color w:val="000099"/>
      <w:sz w:val="19"/>
      <w:szCs w:val="18"/>
    </w:rPr>
  </w:style>
  <w:style w:type="paragraph" w:customStyle="1" w:styleId="25">
    <w:name w:val="a-Article type"/>
    <w:basedOn w:val="1"/>
    <w:next w:val="26"/>
    <w:qFormat/>
    <w:uiPriority w:val="0"/>
    <w:rPr>
      <w:smallCaps/>
      <w:spacing w:val="20"/>
    </w:rPr>
  </w:style>
  <w:style w:type="paragraph" w:customStyle="1" w:styleId="26">
    <w:name w:val="b-Article title"/>
    <w:next w:val="27"/>
    <w:qFormat/>
    <w:uiPriority w:val="0"/>
    <w:pPr>
      <w:spacing w:before="240" w:after="240"/>
    </w:pPr>
    <w:rPr>
      <w:rFonts w:ascii="Cambria" w:hAnsi="Cambria" w:eastAsiaTheme="minorEastAsia" w:cstheme="minorBidi"/>
      <w:sz w:val="28"/>
      <w:szCs w:val="22"/>
      <w:lang w:val="en-US" w:eastAsia="en-US" w:bidi="ar-SA"/>
    </w:rPr>
  </w:style>
  <w:style w:type="paragraph" w:customStyle="1" w:styleId="27">
    <w:name w:val="c-Authors name"/>
    <w:basedOn w:val="26"/>
    <w:next w:val="28"/>
    <w:qFormat/>
    <w:uiPriority w:val="0"/>
    <w:pPr>
      <w:spacing w:before="0"/>
    </w:pPr>
    <w:rPr>
      <w:sz w:val="22"/>
    </w:rPr>
  </w:style>
  <w:style w:type="paragraph" w:customStyle="1" w:styleId="28">
    <w:name w:val="d-Affiliations"/>
    <w:basedOn w:val="27"/>
    <w:qFormat/>
    <w:uiPriority w:val="0"/>
    <w:pPr>
      <w:spacing w:after="0" w:line="240" w:lineRule="exact"/>
    </w:pPr>
    <w:rPr>
      <w:i/>
      <w:sz w:val="20"/>
    </w:rPr>
  </w:style>
  <w:style w:type="paragraph" w:customStyle="1" w:styleId="29">
    <w:name w:val="f-publication history"/>
    <w:basedOn w:val="28"/>
    <w:next w:val="30"/>
    <w:qFormat/>
    <w:uiPriority w:val="0"/>
    <w:pPr>
      <w:spacing w:before="240" w:after="240"/>
    </w:pPr>
    <w:rPr>
      <w:i w:val="0"/>
    </w:rPr>
  </w:style>
  <w:style w:type="paragraph" w:customStyle="1" w:styleId="30">
    <w:name w:val="g-DOI info"/>
    <w:basedOn w:val="29"/>
    <w:next w:val="31"/>
    <w:qFormat/>
    <w:uiPriority w:val="0"/>
    <w:pPr>
      <w:spacing w:before="0" w:line="240" w:lineRule="auto"/>
    </w:pPr>
  </w:style>
  <w:style w:type="paragraph" w:customStyle="1" w:styleId="31">
    <w:name w:val="h-Abstract title"/>
    <w:basedOn w:val="30"/>
    <w:next w:val="32"/>
    <w:qFormat/>
    <w:uiPriority w:val="0"/>
    <w:pPr>
      <w:pBdr>
        <w:top w:val="single" w:color="A5A5A5" w:themeColor="background1" w:themeShade="A6" w:sz="12" w:space="5"/>
      </w:pBdr>
      <w:spacing w:after="120"/>
    </w:pPr>
    <w:rPr>
      <w:b/>
      <w:sz w:val="22"/>
    </w:rPr>
  </w:style>
  <w:style w:type="paragraph" w:customStyle="1" w:styleId="32">
    <w:name w:val="i-Abstract text"/>
    <w:basedOn w:val="1"/>
    <w:qFormat/>
    <w:uiPriority w:val="0"/>
  </w:style>
  <w:style w:type="paragraph" w:customStyle="1" w:styleId="33">
    <w:name w:val="n-general sub headings"/>
    <w:basedOn w:val="1"/>
    <w:next w:val="1"/>
    <w:qFormat/>
    <w:uiPriority w:val="0"/>
    <w:pPr>
      <w:spacing w:before="240" w:after="120"/>
      <w:jc w:val="left"/>
    </w:pPr>
    <w:rPr>
      <w:i/>
      <w:sz w:val="22"/>
    </w:rPr>
  </w:style>
  <w:style w:type="paragraph" w:customStyle="1" w:styleId="34">
    <w:name w:val="j-Keywords"/>
    <w:basedOn w:val="1"/>
    <w:qFormat/>
    <w:uiPriority w:val="0"/>
    <w:rPr>
      <w:b/>
      <w:sz w:val="22"/>
    </w:rPr>
  </w:style>
  <w:style w:type="paragraph" w:customStyle="1" w:styleId="35">
    <w:name w:val="e-Article infomation"/>
    <w:basedOn w:val="29"/>
    <w:qFormat/>
    <w:uiPriority w:val="0"/>
    <w:rPr>
      <w:rFonts w:eastAsia="SimSun"/>
      <w:lang w:eastAsia="zh-CN"/>
    </w:rPr>
  </w:style>
  <w:style w:type="paragraph" w:customStyle="1" w:styleId="36">
    <w:name w:val="q-References"/>
    <w:basedOn w:val="1"/>
    <w:qFormat/>
    <w:uiPriority w:val="0"/>
    <w:pPr>
      <w:numPr>
        <w:ilvl w:val="0"/>
        <w:numId w:val="2"/>
      </w:numPr>
      <w:spacing w:after="120"/>
      <w:ind w:left="576" w:hanging="576"/>
    </w:pPr>
    <w:rPr>
      <w:rFonts w:eastAsia="Times New Roman" w:cs="Times New Roman"/>
      <w:szCs w:val="20"/>
    </w:rPr>
  </w:style>
  <w:style w:type="paragraph" w:customStyle="1" w:styleId="37">
    <w:name w:val="l-Captions Tables"/>
    <w:basedOn w:val="1"/>
    <w:qFormat/>
    <w:uiPriority w:val="0"/>
    <w:pPr>
      <w:keepNext/>
      <w:spacing w:before="120"/>
    </w:pPr>
    <w:rPr>
      <w:rFonts w:eastAsia="Times New Roman" w:cs="Times New Roman"/>
      <w:b/>
      <w:szCs w:val="20"/>
    </w:rPr>
  </w:style>
  <w:style w:type="paragraph" w:customStyle="1" w:styleId="38">
    <w:name w:val="s-header other pages"/>
    <w:basedOn w:val="1"/>
    <w:qFormat/>
    <w:uiPriority w:val="0"/>
    <w:pPr>
      <w:tabs>
        <w:tab w:val="center" w:pos="4680"/>
        <w:tab w:val="right" w:pos="9360"/>
      </w:tabs>
      <w:spacing w:after="120"/>
      <w:jc w:val="center"/>
    </w:pPr>
  </w:style>
  <w:style w:type="character" w:customStyle="1" w:styleId="39">
    <w:name w:val="Footnote Text Char"/>
    <w:basedOn w:val="6"/>
    <w:link w:val="14"/>
    <w:semiHidden/>
    <w:qFormat/>
    <w:uiPriority w:val="99"/>
    <w:rPr>
      <w:rFonts w:ascii="Times New Roman" w:hAnsi="Times New Roman"/>
      <w:sz w:val="20"/>
      <w:szCs w:val="20"/>
    </w:rPr>
  </w:style>
  <w:style w:type="paragraph" w:customStyle="1" w:styleId="40">
    <w:name w:val="o-Table"/>
    <w:basedOn w:val="1"/>
    <w:qFormat/>
    <w:uiPriority w:val="0"/>
    <w:pPr>
      <w:spacing w:before="60" w:after="60"/>
    </w:pPr>
    <w:rPr>
      <w:lang w:val="en-GB"/>
    </w:rPr>
  </w:style>
  <w:style w:type="paragraph" w:customStyle="1" w:styleId="41">
    <w:name w:val="r-Foot note for page"/>
    <w:basedOn w:val="1"/>
    <w:qFormat/>
    <w:uiPriority w:val="0"/>
    <w:pPr>
      <w:pBdr>
        <w:top w:val="single" w:color="auto" w:sz="4" w:space="1"/>
      </w:pBdr>
      <w:spacing w:before="120" w:after="0"/>
      <w:contextualSpacing/>
      <w:jc w:val="left"/>
    </w:pPr>
    <w:rPr>
      <w:rFonts w:eastAsia="SimSun" w:cs="Times New Roman"/>
      <w:sz w:val="18"/>
      <w:szCs w:val="20"/>
    </w:rPr>
  </w:style>
  <w:style w:type="paragraph" w:customStyle="1" w:styleId="42">
    <w:name w:val="p-Table footnote"/>
    <w:basedOn w:val="1"/>
    <w:qFormat/>
    <w:uiPriority w:val="0"/>
    <w:pPr>
      <w:jc w:val="center"/>
    </w:pPr>
    <w:rPr>
      <w:sz w:val="16"/>
      <w:lang w:val="en-GB"/>
    </w:rPr>
  </w:style>
  <w:style w:type="paragraph" w:customStyle="1" w:styleId="43">
    <w:name w:val="m-General Heading 1"/>
    <w:basedOn w:val="2"/>
    <w:qFormat/>
    <w:uiPriority w:val="0"/>
    <w:pPr>
      <w:numPr>
        <w:numId w:val="0"/>
      </w:numPr>
    </w:pPr>
  </w:style>
  <w:style w:type="character" w:customStyle="1" w:styleId="44">
    <w:name w:val="Balloon Text Char"/>
    <w:basedOn w:val="6"/>
    <w:link w:val="8"/>
    <w:semiHidden/>
    <w:qFormat/>
    <w:uiPriority w:val="99"/>
    <w:rPr>
      <w:rFonts w:ascii="Tahoma" w:hAnsi="Tahoma" w:cs="Tahoma"/>
      <w:sz w:val="16"/>
      <w:szCs w:val="16"/>
    </w:rPr>
  </w:style>
  <w:style w:type="paragraph" w:customStyle="1" w:styleId="45">
    <w:name w:val="k-Caption Figure"/>
    <w:basedOn w:val="37"/>
    <w:qFormat/>
    <w:uiPriority w:val="0"/>
    <w:pPr>
      <w:jc w:val="center"/>
    </w:pPr>
    <w:rPr>
      <w:lang w:val="en-GB"/>
    </w:rPr>
  </w:style>
  <w:style w:type="paragraph" w:customStyle="1" w:styleId="46">
    <w:name w:val="t-Copyright info"/>
    <w:basedOn w:val="42"/>
    <w:next w:val="1"/>
    <w:qFormat/>
    <w:uiPriority w:val="0"/>
    <w:pPr>
      <w:spacing w:before="120"/>
    </w:pPr>
    <w:rPr>
      <w:sz w:val="15"/>
    </w:rPr>
  </w:style>
  <w:style w:type="paragraph" w:styleId="47">
    <w:name w:val="No Spacing"/>
    <w:qFormat/>
    <w:uiPriority w:val="1"/>
    <w:pPr>
      <w:widowControl w:val="0"/>
      <w:spacing w:after="0"/>
      <w:jc w:val="both"/>
    </w:pPr>
    <w:rPr>
      <w:rFonts w:ascii="Palatino" w:hAnsi="Palatino" w:eastAsia="Times New Roman" w:cs="Times New Roman"/>
      <w:kern w:val="16"/>
      <w:sz w:val="19"/>
      <w:szCs w:val="20"/>
      <w:lang w:val="en-US" w:eastAsia="en-US" w:bidi="ar-SA"/>
    </w:rPr>
  </w:style>
  <w:style w:type="paragraph" w:customStyle="1" w:styleId="48">
    <w:name w:val="AUTHOR AFFILIATION"/>
    <w:basedOn w:val="1"/>
    <w:qFormat/>
    <w:uiPriority w:val="0"/>
    <w:pPr>
      <w:framePr w:w="5040" w:vSpace="200" w:wrap="auto" w:vAnchor="margin" w:hAnchor="text" w:yAlign="bottom"/>
      <w:widowControl w:val="0"/>
      <w:spacing w:after="0" w:line="180" w:lineRule="exact"/>
    </w:pPr>
    <w:rPr>
      <w:rFonts w:ascii="Palatino" w:hAnsi="Palatino" w:eastAsia="Times New Roman" w:cs="Times New Roman"/>
      <w:i/>
      <w:kern w:val="16"/>
      <w:sz w:val="16"/>
      <w:szCs w:val="20"/>
    </w:rPr>
  </w:style>
  <w:style w:type="table" w:customStyle="1" w:styleId="49">
    <w:name w:val="TableGrid"/>
    <w:qFormat/>
    <w:uiPriority w:val="0"/>
    <w:pPr>
      <w:spacing w:after="0"/>
    </w:pPr>
    <w:rPr>
      <w:kern w:val="2"/>
      <w:lang w:val="id-ID" w:eastAsia="id-ID"/>
      <w14:ligatures w14:val="standardContextual"/>
    </w:rPr>
    <w:tblPr>
      <w:tblCellMar>
        <w:top w:w="0" w:type="dxa"/>
        <w:left w:w="0" w:type="dxa"/>
        <w:bottom w:w="0" w:type="dxa"/>
        <w:right w:w="0" w:type="dxa"/>
      </w:tblCellMar>
    </w:tblPr>
  </w:style>
  <w:style w:type="paragraph" w:styleId="50">
    <w:name w:val="List Paragraph"/>
    <w:basedOn w:val="1"/>
    <w:link w:val="51"/>
    <w:qFormat/>
    <w:uiPriority w:val="34"/>
    <w:pPr>
      <w:spacing w:after="160" w:line="256" w:lineRule="auto"/>
      <w:ind w:left="720"/>
      <w:contextualSpacing/>
      <w:jc w:val="left"/>
    </w:pPr>
    <w:rPr>
      <w:rFonts w:asciiTheme="minorHAnsi" w:hAnsiTheme="minorHAnsi" w:eastAsiaTheme="minorHAnsi"/>
      <w:sz w:val="22"/>
      <w:lang w:val="zh-CN"/>
    </w:rPr>
  </w:style>
  <w:style w:type="character" w:customStyle="1" w:styleId="51">
    <w:name w:val="List Paragraph Char"/>
    <w:link w:val="50"/>
    <w:qFormat/>
    <w:locked/>
    <w:uiPriority w:val="34"/>
    <w:rPr>
      <w:rFonts w:eastAsiaTheme="minorHAnsi"/>
      <w:lang w:val="zh-CN"/>
    </w:rPr>
  </w:style>
  <w:style w:type="character" w:styleId="52">
    <w:name w:val="Placeholder Text"/>
    <w:basedOn w:val="6"/>
    <w:semiHidden/>
    <w:qFormat/>
    <w:uiPriority w:val="99"/>
    <w:rPr>
      <w:color w:val="666666"/>
    </w:rPr>
  </w:style>
  <w:style w:type="paragraph" w:customStyle="1" w:styleId="53">
    <w:name w:val="Default"/>
    <w:qFormat/>
    <w:uiPriority w:val="0"/>
    <w:pPr>
      <w:autoSpaceDE w:val="0"/>
      <w:autoSpaceDN w:val="0"/>
      <w:adjustRightInd w:val="0"/>
      <w:spacing w:after="0"/>
    </w:pPr>
    <w:rPr>
      <w:rFonts w:ascii="Cambria" w:hAnsi="Cambria" w:eastAsia="Calibri" w:cs="Cambria"/>
      <w:color w:val="000000"/>
      <w:sz w:val="24"/>
      <w:szCs w:val="24"/>
      <w:lang w:val="id-ID" w:eastAsia="id-ID" w:bidi="ar-SA"/>
    </w:rPr>
  </w:style>
  <w:style w:type="character" w:customStyle="1" w:styleId="54">
    <w:name w:val="HTML Preformatted Char"/>
    <w:basedOn w:val="6"/>
    <w:link w:val="15"/>
    <w:qFormat/>
    <w:uiPriority w:val="99"/>
    <w:rPr>
      <w:rFonts w:ascii="Courier New" w:hAnsi="Courier New" w:eastAsia="Times New Roman" w:cs="Courier New"/>
      <w:sz w:val="20"/>
      <w:szCs w:val="20"/>
      <w:lang w:val="id-ID" w:eastAsia="id-ID"/>
    </w:rPr>
  </w:style>
  <w:style w:type="character" w:customStyle="1" w:styleId="55">
    <w:name w:val="y2iqfc"/>
    <w:basedOn w:val="6"/>
    <w:qFormat/>
    <w:uiPriority w:val="0"/>
  </w:style>
  <w:style w:type="character" w:customStyle="1" w:styleId="56">
    <w:name w:val="Body Text Char"/>
    <w:basedOn w:val="6"/>
    <w:link w:val="9"/>
    <w:qFormat/>
    <w:uiPriority w:val="1"/>
    <w:rPr>
      <w:rFonts w:ascii="Times New Roman" w:hAnsi="Times New Roman" w:eastAsia="Times New Roman" w:cs="Times New Roman"/>
      <w:sz w:val="20"/>
      <w:szCs w:val="20"/>
      <w:lang w:val="zh-CN" w:eastAsia="zh-CN"/>
    </w:rPr>
  </w:style>
  <w:style w:type="table" w:customStyle="1" w:styleId="57">
    <w:name w:val="List Table 6 Colorful"/>
    <w:basedOn w:val="7"/>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58">
    <w:name w:val="ds-markdown-paragraph"/>
    <w:basedOn w:val="1"/>
    <w:qFormat/>
    <w:uiPriority w:val="0"/>
    <w:pPr>
      <w:spacing w:before="100" w:beforeAutospacing="1" w:after="100" w:afterAutospacing="1" w:line="240" w:lineRule="auto"/>
    </w:pPr>
    <w:rPr>
      <w:rFonts w:ascii="Times New Roman" w:hAnsi="Times New Roman" w:eastAsia="Times New Roman"/>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apna%20work\GSCBPS\GSCBPS%20Article%20template.dotx"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chukw\OneDrive\Desktop\PUBLICATION%20COUGH\GIT\ANTIULCER.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chukw\OneDrive\Desktop\PUBLICATION%20COUGH\GIT\ANTIULCER.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chukw\OneDrive\Desktop\PUBLICATION%20COUGH\GIT\ANTIULCER.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chukw\OneDrive\Desktop\PUBLICATION%20COUGH\GIT\ANTIULCER.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chukw\OneDrive\Desktop\PUBLICATION%20COUGH\GIT\ANTIULCER.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chukw\OneDrive\Desktop\PUBLICATION%20COUGH\GIT\ANTIULCER.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chukw\OneDrive\Desktop\PUBLICATION%20COUGH\GIT\ANTIULC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'No OF ULCER'!$M$17</c:f>
              <c:strCache>
                <c:ptCount val="1"/>
                <c:pt idx="0">
                  <c:v>Number of ulcer</c:v>
                </c:pt>
              </c:strCache>
            </c:strRef>
          </c:tx>
          <c:spPr>
            <a:solidFill>
              <a:schemeClr val="accent1"/>
            </a:solidFill>
            <a:ln>
              <a:noFill/>
            </a:ln>
            <a:effectLst/>
          </c:spPr>
          <c:invertIfNegative val="0"/>
          <c:dLbls>
            <c:delete val="1"/>
          </c:dLbls>
          <c:errBars>
            <c:errBarType val="both"/>
            <c:errValType val="cust"/>
            <c:noEndCap val="0"/>
            <c:plus>
              <c:numRef>
                <c:f>'No OF ULCER'!$N$18:$N$27</c:f>
                <c:numCache>
                  <c:formatCode>General</c:formatCode>
                  <c:ptCount val="10"/>
                  <c:pt idx="0">
                    <c:v>0.88</c:v>
                  </c:pt>
                  <c:pt idx="1">
                    <c:v>0.06</c:v>
                  </c:pt>
                  <c:pt idx="2">
                    <c:v>1.45</c:v>
                  </c:pt>
                  <c:pt idx="3">
                    <c:v>0.33</c:v>
                  </c:pt>
                  <c:pt idx="4">
                    <c:v>0.66</c:v>
                  </c:pt>
                  <c:pt idx="5">
                    <c:v>0.42</c:v>
                  </c:pt>
                  <c:pt idx="6">
                    <c:v>0.48</c:v>
                  </c:pt>
                  <c:pt idx="7">
                    <c:v>0.52</c:v>
                  </c:pt>
                  <c:pt idx="8">
                    <c:v>0.33</c:v>
                  </c:pt>
                  <c:pt idx="9">
                    <c:v>0.53</c:v>
                  </c:pt>
                </c:numCache>
              </c:numRef>
            </c:plus>
            <c:minus>
              <c:numRef>
                <c:f>'No OF ULCER'!$N$18:$N$27</c:f>
                <c:numCache>
                  <c:formatCode>General</c:formatCode>
                  <c:ptCount val="10"/>
                  <c:pt idx="0">
                    <c:v>0.88</c:v>
                  </c:pt>
                  <c:pt idx="1">
                    <c:v>0.06</c:v>
                  </c:pt>
                  <c:pt idx="2">
                    <c:v>1.45</c:v>
                  </c:pt>
                  <c:pt idx="3">
                    <c:v>0.33</c:v>
                  </c:pt>
                  <c:pt idx="4">
                    <c:v>0.66</c:v>
                  </c:pt>
                  <c:pt idx="5">
                    <c:v>0.42</c:v>
                  </c:pt>
                  <c:pt idx="6">
                    <c:v>0.48</c:v>
                  </c:pt>
                  <c:pt idx="7">
                    <c:v>0.52</c:v>
                  </c:pt>
                  <c:pt idx="8">
                    <c:v>0.33</c:v>
                  </c:pt>
                  <c:pt idx="9">
                    <c:v>0.53</c:v>
                  </c:pt>
                </c:numCache>
              </c:numRef>
            </c:minus>
            <c:spPr>
              <a:noFill/>
              <a:ln w="9525" cap="flat" cmpd="sng" algn="ctr">
                <a:solidFill>
                  <a:schemeClr val="tx1">
                    <a:lumMod val="65000"/>
                    <a:lumOff val="35000"/>
                  </a:schemeClr>
                </a:solidFill>
                <a:round/>
              </a:ln>
              <a:effectLst/>
            </c:spPr>
          </c:errBars>
          <c:cat>
            <c:strRef>
              <c:f>'No OF ULCER'!$L$18:$L$27</c:f>
              <c:strCache>
                <c:ptCount val="10"/>
                <c:pt idx="0">
                  <c:v>10ml/kg distilled water</c:v>
                </c:pt>
                <c:pt idx="1">
                  <c:v>20mg/kg omeprazole</c:v>
                </c:pt>
                <c:pt idx="2">
                  <c:v>250mg/kg crude extract</c:v>
                </c:pt>
                <c:pt idx="3">
                  <c:v>500mg/kg crude extract</c:v>
                </c:pt>
                <c:pt idx="4">
                  <c:v>250mg/kg N-hexane</c:v>
                </c:pt>
                <c:pt idx="5">
                  <c:v>500mg/kg N-hexane</c:v>
                </c:pt>
                <c:pt idx="6">
                  <c:v>25omg/kg ethyl acetate</c:v>
                </c:pt>
                <c:pt idx="7">
                  <c:v>500mg/kg ethyl acetate</c:v>
                </c:pt>
                <c:pt idx="8">
                  <c:v>250mg/kg butanol</c:v>
                </c:pt>
                <c:pt idx="9">
                  <c:v>500mg/kg butanol</c:v>
                </c:pt>
              </c:strCache>
            </c:strRef>
          </c:cat>
          <c:val>
            <c:numRef>
              <c:f>'No OF ULCER'!$M$18:$M$27</c:f>
              <c:numCache>
                <c:formatCode>General</c:formatCode>
                <c:ptCount val="10"/>
                <c:pt idx="0">
                  <c:v>11.3</c:v>
                </c:pt>
                <c:pt idx="1">
                  <c:v>1.33</c:v>
                </c:pt>
                <c:pt idx="2">
                  <c:v>3.33</c:v>
                </c:pt>
                <c:pt idx="3">
                  <c:v>1.33</c:v>
                </c:pt>
                <c:pt idx="4">
                  <c:v>11</c:v>
                </c:pt>
                <c:pt idx="5">
                  <c:v>9.66</c:v>
                </c:pt>
                <c:pt idx="6">
                  <c:v>9</c:v>
                </c:pt>
                <c:pt idx="7">
                  <c:v>7.1</c:v>
                </c:pt>
                <c:pt idx="8">
                  <c:v>2.33</c:v>
                </c:pt>
                <c:pt idx="9">
                  <c:v>4</c:v>
                </c:pt>
              </c:numCache>
            </c:numRef>
          </c:val>
        </c:ser>
        <c:dLbls>
          <c:showLegendKey val="0"/>
          <c:showVal val="0"/>
          <c:showCatName val="0"/>
          <c:showSerName val="0"/>
          <c:showPercent val="0"/>
          <c:showBubbleSize val="0"/>
        </c:dLbls>
        <c:gapWidth val="219"/>
        <c:overlap val="-27"/>
        <c:axId val="377681592"/>
        <c:axId val="377681984"/>
      </c:barChart>
      <c:catAx>
        <c:axId val="377681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7681984"/>
        <c:crosses val="autoZero"/>
        <c:auto val="1"/>
        <c:lblAlgn val="ctr"/>
        <c:lblOffset val="100"/>
        <c:noMultiLvlLbl val="0"/>
      </c:catAx>
      <c:valAx>
        <c:axId val="377681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7681592"/>
        <c:crosses val="autoZero"/>
        <c:crossBetween val="between"/>
      </c:valAx>
      <c:spPr>
        <a:noFill/>
        <a:ln>
          <a:noFill/>
        </a:ln>
        <a:effectLst/>
      </c:spPr>
    </c:plotArea>
    <c:plotVisOnly val="1"/>
    <c:dispBlanksAs val="gap"/>
    <c:showDLblsOverMax val="0"/>
    <c:extLst>
      <c:ext uri="{0b15fc19-7d7d-44ad-8c2d-2c3a37ce22c3}">
        <chartProps xmlns="https://web.wps.cn/et/2018/main" chartId="{968375d5-487c-4dc1-9c50-840fa0574f73}"/>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'ULCER INDEX'!$K$16</c:f>
              <c:strCache>
                <c:ptCount val="1"/>
                <c:pt idx="0">
                  <c:v>Ulcer index</c:v>
                </c:pt>
              </c:strCache>
            </c:strRef>
          </c:tx>
          <c:spPr>
            <a:solidFill>
              <a:schemeClr val="accent1"/>
            </a:solidFill>
            <a:ln>
              <a:noFill/>
            </a:ln>
            <a:effectLst/>
          </c:spPr>
          <c:invertIfNegative val="0"/>
          <c:dLbls>
            <c:delete val="1"/>
          </c:dLbls>
          <c:errBars>
            <c:errBarType val="both"/>
            <c:errValType val="cust"/>
            <c:noEndCap val="0"/>
            <c:plus>
              <c:numRef>
                <c:f>'ULCER INDEX'!$L$17:$L$26</c:f>
                <c:numCache>
                  <c:formatCode>General</c:formatCode>
                  <c:ptCount val="10"/>
                  <c:pt idx="0">
                    <c:v>0.26</c:v>
                  </c:pt>
                  <c:pt idx="1">
                    <c:v>0.16</c:v>
                  </c:pt>
                  <c:pt idx="2">
                    <c:v>0.16</c:v>
                  </c:pt>
                  <c:pt idx="3">
                    <c:v>0.03</c:v>
                  </c:pt>
                  <c:pt idx="4">
                    <c:v>0.62</c:v>
                  </c:pt>
                  <c:pt idx="5">
                    <c:v>0.47</c:v>
                  </c:pt>
                  <c:pt idx="6">
                    <c:v>0.73</c:v>
                  </c:pt>
                  <c:pt idx="7">
                    <c:v>0.62</c:v>
                  </c:pt>
                  <c:pt idx="8">
                    <c:v>0.26</c:v>
                  </c:pt>
                  <c:pt idx="9">
                    <c:v>0.12</c:v>
                  </c:pt>
                </c:numCache>
              </c:numRef>
            </c:plus>
            <c:minus>
              <c:numRef>
                <c:f>'ULCER INDEX'!$L$17:$L$26</c:f>
                <c:numCache>
                  <c:formatCode>General</c:formatCode>
                  <c:ptCount val="10"/>
                  <c:pt idx="0">
                    <c:v>0.26</c:v>
                  </c:pt>
                  <c:pt idx="1">
                    <c:v>0.16</c:v>
                  </c:pt>
                  <c:pt idx="2">
                    <c:v>0.16</c:v>
                  </c:pt>
                  <c:pt idx="3">
                    <c:v>0.03</c:v>
                  </c:pt>
                  <c:pt idx="4">
                    <c:v>0.62</c:v>
                  </c:pt>
                  <c:pt idx="5">
                    <c:v>0.47</c:v>
                  </c:pt>
                  <c:pt idx="6">
                    <c:v>0.73</c:v>
                  </c:pt>
                  <c:pt idx="7">
                    <c:v>0.62</c:v>
                  </c:pt>
                  <c:pt idx="8">
                    <c:v>0.26</c:v>
                  </c:pt>
                  <c:pt idx="9">
                    <c:v>0.12</c:v>
                  </c:pt>
                </c:numCache>
              </c:numRef>
            </c:minus>
            <c:spPr>
              <a:noFill/>
              <a:ln w="9525" cap="flat" cmpd="sng" algn="ctr">
                <a:solidFill>
                  <a:schemeClr val="tx1">
                    <a:lumMod val="65000"/>
                    <a:lumOff val="35000"/>
                  </a:schemeClr>
                </a:solidFill>
                <a:round/>
              </a:ln>
              <a:effectLst/>
            </c:spPr>
          </c:errBars>
          <c:cat>
            <c:strRef>
              <c:f>'ULCER INDEX'!$J$17:$J$26</c:f>
              <c:strCache>
                <c:ptCount val="10"/>
                <c:pt idx="0">
                  <c:v>10ml/distilled water</c:v>
                </c:pt>
                <c:pt idx="1">
                  <c:v>20mg/kg omeprazole</c:v>
                </c:pt>
                <c:pt idx="2">
                  <c:v>250mg/kg crude extract </c:v>
                </c:pt>
                <c:pt idx="3">
                  <c:v>500mg/kg crude extract</c:v>
                </c:pt>
                <c:pt idx="4">
                  <c:v>250mg/kg N-hexane</c:v>
                </c:pt>
                <c:pt idx="5">
                  <c:v>500mg/kg N-hexane </c:v>
                </c:pt>
                <c:pt idx="6">
                  <c:v>250mg/kg ethyl acetate</c:v>
                </c:pt>
                <c:pt idx="7">
                  <c:v>500mg/kg ethyl acetate</c:v>
                </c:pt>
                <c:pt idx="8">
                  <c:v>250mg/kg butanol</c:v>
                </c:pt>
                <c:pt idx="9">
                  <c:v>500mg/kg butanol</c:v>
                </c:pt>
              </c:strCache>
            </c:strRef>
          </c:cat>
          <c:val>
            <c:numRef>
              <c:f>'ULCER INDEX'!$K$17:$K$26</c:f>
              <c:numCache>
                <c:formatCode>General</c:formatCode>
                <c:ptCount val="10"/>
                <c:pt idx="0">
                  <c:v>13.7</c:v>
                </c:pt>
                <c:pt idx="1">
                  <c:v>8.42</c:v>
                </c:pt>
                <c:pt idx="2">
                  <c:v>10.4</c:v>
                </c:pt>
                <c:pt idx="3">
                  <c:v>10.2</c:v>
                </c:pt>
                <c:pt idx="4">
                  <c:v>12.5</c:v>
                </c:pt>
                <c:pt idx="5">
                  <c:v>12.01</c:v>
                </c:pt>
                <c:pt idx="6">
                  <c:v>11.2</c:v>
                </c:pt>
                <c:pt idx="7">
                  <c:v>10.8</c:v>
                </c:pt>
                <c:pt idx="8">
                  <c:v>9.54</c:v>
                </c:pt>
                <c:pt idx="9">
                  <c:v>10.8</c:v>
                </c:pt>
              </c:numCache>
            </c:numRef>
          </c:val>
        </c:ser>
        <c:dLbls>
          <c:showLegendKey val="0"/>
          <c:showVal val="0"/>
          <c:showCatName val="0"/>
          <c:showSerName val="0"/>
          <c:showPercent val="0"/>
          <c:showBubbleSize val="0"/>
        </c:dLbls>
        <c:gapWidth val="219"/>
        <c:overlap val="-27"/>
        <c:axId val="377682376"/>
        <c:axId val="377683160"/>
      </c:barChart>
      <c:catAx>
        <c:axId val="377682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7683160"/>
        <c:crosses val="autoZero"/>
        <c:auto val="1"/>
        <c:lblAlgn val="ctr"/>
        <c:lblOffset val="100"/>
        <c:noMultiLvlLbl val="0"/>
      </c:catAx>
      <c:valAx>
        <c:axId val="377683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7682376"/>
        <c:crosses val="autoZero"/>
        <c:crossBetween val="between"/>
      </c:valAx>
      <c:spPr>
        <a:noFill/>
        <a:ln>
          <a:noFill/>
        </a:ln>
        <a:effectLst/>
      </c:spPr>
    </c:plotArea>
    <c:plotVisOnly val="1"/>
    <c:dispBlanksAs val="gap"/>
    <c:showDLblsOverMax val="0"/>
    <c:extLst>
      <c:ext uri="{0b15fc19-7d7d-44ad-8c2d-2c3a37ce22c3}">
        <chartProps xmlns="https://web.wps.cn/et/2018/main" chartId="{95161271-4ed5-4c8d-8633-3d5975c41a75}"/>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'Percentage ulcer inhibition'!$E$6:$E$7</c:f>
              <c:strCache>
                <c:ptCount val="1"/>
                <c:pt idx="0">
                  <c:v>% Ulcer Inhibition</c:v>
                </c:pt>
              </c:strCache>
            </c:strRef>
          </c:tx>
          <c:spPr>
            <a:solidFill>
              <a:schemeClr val="accent1"/>
            </a:solidFill>
            <a:ln>
              <a:noFill/>
            </a:ln>
            <a:effectLst/>
          </c:spPr>
          <c:invertIfNegative val="0"/>
          <c:dLbls>
            <c:delete val="1"/>
          </c:dLbls>
          <c:cat>
            <c:strRef>
              <c:f>'Percentage ulcer inhibition'!$D$8:$D$16</c:f>
              <c:strCache>
                <c:ptCount val="9"/>
                <c:pt idx="0">
                  <c:v>20mg/kg omeprazole</c:v>
                </c:pt>
                <c:pt idx="1">
                  <c:v>250mg/kg crude extract</c:v>
                </c:pt>
                <c:pt idx="2">
                  <c:v>500mg/kg crude extract</c:v>
                </c:pt>
                <c:pt idx="3">
                  <c:v>250mg/kg N-hexane</c:v>
                </c:pt>
                <c:pt idx="4">
                  <c:v>500mg/kg N-hexane</c:v>
                </c:pt>
                <c:pt idx="5">
                  <c:v>25omg/kg ethyl acetate</c:v>
                </c:pt>
                <c:pt idx="6">
                  <c:v>500mg/kg ethyl acetate</c:v>
                </c:pt>
                <c:pt idx="7">
                  <c:v>250mg/kg butanol</c:v>
                </c:pt>
                <c:pt idx="8">
                  <c:v>500mg/kg butanol</c:v>
                </c:pt>
              </c:strCache>
            </c:strRef>
          </c:cat>
          <c:val>
            <c:numRef>
              <c:f>'Percentage ulcer inhibition'!$E$8:$E$16</c:f>
              <c:numCache>
                <c:formatCode>0.00</c:formatCode>
                <c:ptCount val="9"/>
                <c:pt idx="0">
                  <c:v>88.2300884955752</c:v>
                </c:pt>
                <c:pt idx="1">
                  <c:v>70.5309734513274</c:v>
                </c:pt>
                <c:pt idx="2">
                  <c:v>88.2300884955752</c:v>
                </c:pt>
                <c:pt idx="3">
                  <c:v>2.65486725663717</c:v>
                </c:pt>
                <c:pt idx="4">
                  <c:v>14.5132743362832</c:v>
                </c:pt>
                <c:pt idx="5">
                  <c:v>20.353982300885</c:v>
                </c:pt>
                <c:pt idx="6">
                  <c:v>37.1681415929204</c:v>
                </c:pt>
                <c:pt idx="7">
                  <c:v>79.3805309734513</c:v>
                </c:pt>
                <c:pt idx="8">
                  <c:v>64.6017699115044</c:v>
                </c:pt>
              </c:numCache>
            </c:numRef>
          </c:val>
        </c:ser>
        <c:dLbls>
          <c:showLegendKey val="0"/>
          <c:showVal val="0"/>
          <c:showCatName val="0"/>
          <c:showSerName val="0"/>
          <c:showPercent val="0"/>
          <c:showBubbleSize val="0"/>
        </c:dLbls>
        <c:gapWidth val="219"/>
        <c:overlap val="-27"/>
        <c:axId val="377680416"/>
        <c:axId val="377680808"/>
      </c:barChart>
      <c:catAx>
        <c:axId val="37768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7680808"/>
        <c:crosses val="autoZero"/>
        <c:auto val="1"/>
        <c:lblAlgn val="ctr"/>
        <c:lblOffset val="100"/>
        <c:noMultiLvlLbl val="0"/>
      </c:catAx>
      <c:valAx>
        <c:axId val="3776808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7680416"/>
        <c:crosses val="autoZero"/>
        <c:crossBetween val="between"/>
      </c:valAx>
      <c:spPr>
        <a:noFill/>
        <a:ln>
          <a:noFill/>
        </a:ln>
        <a:effectLst/>
      </c:spPr>
    </c:plotArea>
    <c:plotVisOnly val="1"/>
    <c:dispBlanksAs val="gap"/>
    <c:showDLblsOverMax val="0"/>
    <c:extLst>
      <c:ext uri="{0b15fc19-7d7d-44ad-8c2d-2c3a37ce22c3}">
        <chartProps xmlns="https://web.wps.cn/et/2018/main" chartId="{a56d9795-ea4a-43cc-9ee4-7dfece920676}"/>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'GASTRIC JUICE VOLUME'!$L$19</c:f>
              <c:strCache>
                <c:ptCount val="1"/>
                <c:pt idx="0">
                  <c:v>Gastric juice volume</c:v>
                </c:pt>
              </c:strCache>
            </c:strRef>
          </c:tx>
          <c:spPr>
            <a:solidFill>
              <a:schemeClr val="accent1"/>
            </a:solidFill>
            <a:ln>
              <a:noFill/>
            </a:ln>
            <a:effectLst/>
          </c:spPr>
          <c:invertIfNegative val="0"/>
          <c:dLbls>
            <c:delete val="1"/>
          </c:dLbls>
          <c:errBars>
            <c:errBarType val="both"/>
            <c:errValType val="cust"/>
            <c:noEndCap val="0"/>
            <c:plus>
              <c:numRef>
                <c:f>'GASTRIC JUICE VOLUME'!$M$20:$M$29</c:f>
                <c:numCache>
                  <c:formatCode>General</c:formatCode>
                  <c:ptCount val="10"/>
                  <c:pt idx="0">
                    <c:v>0.2</c:v>
                  </c:pt>
                  <c:pt idx="1">
                    <c:v>0.25</c:v>
                  </c:pt>
                  <c:pt idx="2">
                    <c:v>0.62</c:v>
                  </c:pt>
                  <c:pt idx="3">
                    <c:v>0.32</c:v>
                  </c:pt>
                  <c:pt idx="4">
                    <c:v>0.41</c:v>
                  </c:pt>
                  <c:pt idx="5">
                    <c:v>0.57</c:v>
                  </c:pt>
                  <c:pt idx="6">
                    <c:v>0.36</c:v>
                  </c:pt>
                  <c:pt idx="7">
                    <c:v>0.46</c:v>
                  </c:pt>
                  <c:pt idx="8">
                    <c:v>0.53</c:v>
                  </c:pt>
                  <c:pt idx="9">
                    <c:v>0.42</c:v>
                  </c:pt>
                </c:numCache>
              </c:numRef>
            </c:plus>
            <c:minus>
              <c:numRef>
                <c:f>'GASTRIC JUICE VOLUME'!$M$20:$M$29</c:f>
                <c:numCache>
                  <c:formatCode>General</c:formatCode>
                  <c:ptCount val="10"/>
                  <c:pt idx="0">
                    <c:v>0.2</c:v>
                  </c:pt>
                  <c:pt idx="1">
                    <c:v>0.25</c:v>
                  </c:pt>
                  <c:pt idx="2">
                    <c:v>0.62</c:v>
                  </c:pt>
                  <c:pt idx="3">
                    <c:v>0.32</c:v>
                  </c:pt>
                  <c:pt idx="4">
                    <c:v>0.41</c:v>
                  </c:pt>
                  <c:pt idx="5">
                    <c:v>0.57</c:v>
                  </c:pt>
                  <c:pt idx="6">
                    <c:v>0.36</c:v>
                  </c:pt>
                  <c:pt idx="7">
                    <c:v>0.46</c:v>
                  </c:pt>
                  <c:pt idx="8">
                    <c:v>0.53</c:v>
                  </c:pt>
                  <c:pt idx="9">
                    <c:v>0.42</c:v>
                  </c:pt>
                </c:numCache>
              </c:numRef>
            </c:minus>
            <c:spPr>
              <a:noFill/>
              <a:ln w="9525" cap="flat" cmpd="sng" algn="ctr">
                <a:solidFill>
                  <a:schemeClr val="tx1">
                    <a:lumMod val="65000"/>
                    <a:lumOff val="35000"/>
                  </a:schemeClr>
                </a:solidFill>
                <a:round/>
              </a:ln>
              <a:effectLst/>
            </c:spPr>
          </c:errBars>
          <c:cat>
            <c:strRef>
              <c:f>'GASTRIC JUICE VOLUME'!$K$20:$K$29</c:f>
              <c:strCache>
                <c:ptCount val="10"/>
                <c:pt idx="0">
                  <c:v>10ml/kg distilled water</c:v>
                </c:pt>
                <c:pt idx="1">
                  <c:v>20mg/kg omeprazole</c:v>
                </c:pt>
                <c:pt idx="2">
                  <c:v>250mg/kg crude extract</c:v>
                </c:pt>
                <c:pt idx="3">
                  <c:v>500mg/kg crude extract</c:v>
                </c:pt>
                <c:pt idx="4">
                  <c:v>250mg/kg N-hexane</c:v>
                </c:pt>
                <c:pt idx="5">
                  <c:v>500mg/kg N-hexane</c:v>
                </c:pt>
                <c:pt idx="6">
                  <c:v>250mg/kg ethyl acetate</c:v>
                </c:pt>
                <c:pt idx="7">
                  <c:v>500mg/kg ethyl acetate</c:v>
                </c:pt>
                <c:pt idx="8">
                  <c:v>250mg/kg butanol</c:v>
                </c:pt>
                <c:pt idx="9">
                  <c:v>500mg/kg butanol</c:v>
                </c:pt>
              </c:strCache>
            </c:strRef>
          </c:cat>
          <c:val>
            <c:numRef>
              <c:f>'GASTRIC JUICE VOLUME'!$L$20:$L$29</c:f>
              <c:numCache>
                <c:formatCode>General</c:formatCode>
                <c:ptCount val="10"/>
                <c:pt idx="0">
                  <c:v>2.97</c:v>
                </c:pt>
                <c:pt idx="1">
                  <c:v>2.11</c:v>
                </c:pt>
                <c:pt idx="2">
                  <c:v>2.77</c:v>
                </c:pt>
                <c:pt idx="3">
                  <c:v>2.63</c:v>
                </c:pt>
                <c:pt idx="4">
                  <c:v>2.56</c:v>
                </c:pt>
                <c:pt idx="5">
                  <c:v>2.62</c:v>
                </c:pt>
                <c:pt idx="6">
                  <c:v>2.15</c:v>
                </c:pt>
                <c:pt idx="7">
                  <c:v>2.18</c:v>
                </c:pt>
                <c:pt idx="8">
                  <c:v>2.53</c:v>
                </c:pt>
                <c:pt idx="9">
                  <c:v>2.6</c:v>
                </c:pt>
              </c:numCache>
            </c:numRef>
          </c:val>
        </c:ser>
        <c:dLbls>
          <c:showLegendKey val="0"/>
          <c:showVal val="0"/>
          <c:showCatName val="0"/>
          <c:showSerName val="0"/>
          <c:showPercent val="0"/>
          <c:showBubbleSize val="0"/>
        </c:dLbls>
        <c:gapWidth val="219"/>
        <c:overlap val="-27"/>
        <c:axId val="274886320"/>
        <c:axId val="274887496"/>
      </c:barChart>
      <c:catAx>
        <c:axId val="27488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7496"/>
        <c:crosses val="autoZero"/>
        <c:auto val="1"/>
        <c:lblAlgn val="ctr"/>
        <c:lblOffset val="100"/>
        <c:noMultiLvlLbl val="0"/>
      </c:catAx>
      <c:valAx>
        <c:axId val="274887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6320"/>
        <c:crosses val="autoZero"/>
        <c:crossBetween val="between"/>
      </c:valAx>
      <c:spPr>
        <a:noFill/>
        <a:ln>
          <a:noFill/>
        </a:ln>
        <a:effectLst/>
      </c:spPr>
    </c:plotArea>
    <c:plotVisOnly val="1"/>
    <c:dispBlanksAs val="gap"/>
    <c:showDLblsOverMax val="0"/>
    <c:extLst>
      <c:ext uri="{0b15fc19-7d7d-44ad-8c2d-2c3a37ce22c3}">
        <chartProps xmlns="https://web.wps.cn/et/2018/main" chartId="{00c9f22d-65cb-4458-9d35-7fc481816a9d}"/>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'GASTRIC PH'!$L$20</c:f>
              <c:strCache>
                <c:ptCount val="1"/>
                <c:pt idx="0">
                  <c:v>Gastric PH</c:v>
                </c:pt>
              </c:strCache>
            </c:strRef>
          </c:tx>
          <c:spPr>
            <a:solidFill>
              <a:schemeClr val="accent1"/>
            </a:solidFill>
            <a:ln>
              <a:noFill/>
            </a:ln>
            <a:effectLst/>
          </c:spPr>
          <c:invertIfNegative val="0"/>
          <c:dLbls>
            <c:delete val="1"/>
          </c:dLbls>
          <c:errBars>
            <c:errBarType val="both"/>
            <c:errValType val="cust"/>
            <c:noEndCap val="0"/>
            <c:plus>
              <c:numRef>
                <c:f>'GASTRIC PH'!$M$21:$M$30</c:f>
                <c:numCache>
                  <c:formatCode>General</c:formatCode>
                  <c:ptCount val="10"/>
                  <c:pt idx="0">
                    <c:v>0.33</c:v>
                  </c:pt>
                  <c:pt idx="1">
                    <c:v>0.42</c:v>
                  </c:pt>
                  <c:pt idx="2">
                    <c:v>0.29</c:v>
                  </c:pt>
                  <c:pt idx="3">
                    <c:v>0.58</c:v>
                  </c:pt>
                  <c:pt idx="4">
                    <c:v>0.72</c:v>
                  </c:pt>
                  <c:pt idx="5">
                    <c:v>0.68</c:v>
                  </c:pt>
                  <c:pt idx="6">
                    <c:v>0.57</c:v>
                  </c:pt>
                  <c:pt idx="7">
                    <c:v>0.72</c:v>
                  </c:pt>
                  <c:pt idx="8">
                    <c:v>0.17</c:v>
                  </c:pt>
                  <c:pt idx="9">
                    <c:v>0.44</c:v>
                  </c:pt>
                </c:numCache>
              </c:numRef>
            </c:plus>
            <c:minus>
              <c:numRef>
                <c:f>'GASTRIC PH'!$M$21:$M$30</c:f>
                <c:numCache>
                  <c:formatCode>General</c:formatCode>
                  <c:ptCount val="10"/>
                  <c:pt idx="0">
                    <c:v>0.33</c:v>
                  </c:pt>
                  <c:pt idx="1">
                    <c:v>0.42</c:v>
                  </c:pt>
                  <c:pt idx="2">
                    <c:v>0.29</c:v>
                  </c:pt>
                  <c:pt idx="3">
                    <c:v>0.58</c:v>
                  </c:pt>
                  <c:pt idx="4">
                    <c:v>0.72</c:v>
                  </c:pt>
                  <c:pt idx="5">
                    <c:v>0.68</c:v>
                  </c:pt>
                  <c:pt idx="6">
                    <c:v>0.57</c:v>
                  </c:pt>
                  <c:pt idx="7">
                    <c:v>0.72</c:v>
                  </c:pt>
                  <c:pt idx="8">
                    <c:v>0.17</c:v>
                  </c:pt>
                  <c:pt idx="9">
                    <c:v>0.44</c:v>
                  </c:pt>
                </c:numCache>
              </c:numRef>
            </c:minus>
            <c:spPr>
              <a:noFill/>
              <a:ln w="9525" cap="flat" cmpd="sng" algn="ctr">
                <a:solidFill>
                  <a:schemeClr val="tx1">
                    <a:lumMod val="65000"/>
                    <a:lumOff val="35000"/>
                  </a:schemeClr>
                </a:solidFill>
                <a:round/>
              </a:ln>
              <a:effectLst/>
            </c:spPr>
          </c:errBars>
          <c:cat>
            <c:strRef>
              <c:f>'GASTRIC PH'!$K$21:$K$30</c:f>
              <c:strCache>
                <c:ptCount val="10"/>
                <c:pt idx="0">
                  <c:v>10ml/kg distilled water</c:v>
                </c:pt>
                <c:pt idx="1">
                  <c:v>20mg/kg omeprazole</c:v>
                </c:pt>
                <c:pt idx="2">
                  <c:v>250mg/kg crude extract</c:v>
                </c:pt>
                <c:pt idx="3">
                  <c:v>500mg/kg crude extract</c:v>
                </c:pt>
                <c:pt idx="4">
                  <c:v>250mg/kg N-hexane</c:v>
                </c:pt>
                <c:pt idx="5">
                  <c:v>500mg/kg N-hexane</c:v>
                </c:pt>
                <c:pt idx="6">
                  <c:v>250mg/kg ethyl acetate</c:v>
                </c:pt>
                <c:pt idx="7">
                  <c:v>500mg/kg ethyl acetate</c:v>
                </c:pt>
                <c:pt idx="8">
                  <c:v>250mg/kg butanol</c:v>
                </c:pt>
                <c:pt idx="9">
                  <c:v>500mg/kg butanol</c:v>
                </c:pt>
              </c:strCache>
            </c:strRef>
          </c:cat>
          <c:val>
            <c:numRef>
              <c:f>'GASTRIC PH'!$L$21:$L$30</c:f>
              <c:numCache>
                <c:formatCode>General</c:formatCode>
                <c:ptCount val="10"/>
                <c:pt idx="0">
                  <c:v>2.33</c:v>
                </c:pt>
                <c:pt idx="1">
                  <c:v>4.56</c:v>
                </c:pt>
                <c:pt idx="2">
                  <c:v>4</c:v>
                </c:pt>
                <c:pt idx="3">
                  <c:v>4</c:v>
                </c:pt>
                <c:pt idx="4">
                  <c:v>4</c:v>
                </c:pt>
                <c:pt idx="5">
                  <c:v>3.89</c:v>
                </c:pt>
                <c:pt idx="6">
                  <c:v>4</c:v>
                </c:pt>
                <c:pt idx="7">
                  <c:v>4.1</c:v>
                </c:pt>
                <c:pt idx="8">
                  <c:v>2.83</c:v>
                </c:pt>
                <c:pt idx="9">
                  <c:v>4.17</c:v>
                </c:pt>
              </c:numCache>
            </c:numRef>
          </c:val>
        </c:ser>
        <c:dLbls>
          <c:showLegendKey val="0"/>
          <c:showVal val="0"/>
          <c:showCatName val="0"/>
          <c:showSerName val="0"/>
          <c:showPercent val="0"/>
          <c:showBubbleSize val="0"/>
        </c:dLbls>
        <c:gapWidth val="219"/>
        <c:overlap val="-27"/>
        <c:axId val="274881224"/>
        <c:axId val="274882792"/>
      </c:barChart>
      <c:catAx>
        <c:axId val="274881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2792"/>
        <c:crosses val="autoZero"/>
        <c:auto val="1"/>
        <c:lblAlgn val="ctr"/>
        <c:lblOffset val="100"/>
        <c:noMultiLvlLbl val="0"/>
      </c:catAx>
      <c:valAx>
        <c:axId val="274882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1224"/>
        <c:crosses val="autoZero"/>
        <c:crossBetween val="between"/>
      </c:valAx>
      <c:spPr>
        <a:noFill/>
        <a:ln>
          <a:noFill/>
        </a:ln>
        <a:effectLst/>
      </c:spPr>
    </c:plotArea>
    <c:plotVisOnly val="1"/>
    <c:dispBlanksAs val="gap"/>
    <c:showDLblsOverMax val="0"/>
    <c:extLst>
      <c:ext uri="{0b15fc19-7d7d-44ad-8c2d-2c3a37ce22c3}">
        <chartProps xmlns="https://web.wps.cn/et/2018/main" chartId="{2ebcbb20-d3c2-4317-a5a7-edd6c4c2b2c8}"/>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'GASTRIC JUICE FREE ACID'!$O$13</c:f>
              <c:strCache>
                <c:ptCount val="1"/>
                <c:pt idx="0">
                  <c:v>Gastric juice free acid</c:v>
                </c:pt>
              </c:strCache>
            </c:strRef>
          </c:tx>
          <c:spPr>
            <a:solidFill>
              <a:schemeClr val="accent1"/>
            </a:solidFill>
            <a:ln>
              <a:noFill/>
            </a:ln>
            <a:effectLst/>
          </c:spPr>
          <c:invertIfNegative val="0"/>
          <c:dLbls>
            <c:delete val="1"/>
          </c:dLbls>
          <c:errBars>
            <c:errBarType val="both"/>
            <c:errValType val="cust"/>
            <c:noEndCap val="0"/>
            <c:plus>
              <c:numRef>
                <c:f>'GASTRIC JUICE FREE ACID'!$P$14:$P$23</c:f>
                <c:numCache>
                  <c:formatCode>General</c:formatCode>
                  <c:ptCount val="10"/>
                  <c:pt idx="0">
                    <c:v>4.26</c:v>
                  </c:pt>
                  <c:pt idx="1">
                    <c:v>5.22</c:v>
                  </c:pt>
                  <c:pt idx="2">
                    <c:v>0.67</c:v>
                  </c:pt>
                  <c:pt idx="3">
                    <c:v>3.06</c:v>
                  </c:pt>
                  <c:pt idx="4">
                    <c:v>4.82</c:v>
                  </c:pt>
                  <c:pt idx="5">
                    <c:v>9.66</c:v>
                  </c:pt>
                  <c:pt idx="6">
                    <c:v>5.36</c:v>
                  </c:pt>
                  <c:pt idx="7">
                    <c:v>4.81</c:v>
                  </c:pt>
                  <c:pt idx="8">
                    <c:v>2.33</c:v>
                  </c:pt>
                  <c:pt idx="9">
                    <c:v>2.4</c:v>
                  </c:pt>
                </c:numCache>
              </c:numRef>
            </c:plus>
            <c:minus>
              <c:numRef>
                <c:f>'GASTRIC JUICE FREE ACID'!$P$14:$P$23</c:f>
                <c:numCache>
                  <c:formatCode>General</c:formatCode>
                  <c:ptCount val="10"/>
                  <c:pt idx="0">
                    <c:v>4.26</c:v>
                  </c:pt>
                  <c:pt idx="1">
                    <c:v>5.22</c:v>
                  </c:pt>
                  <c:pt idx="2">
                    <c:v>0.67</c:v>
                  </c:pt>
                  <c:pt idx="3">
                    <c:v>3.06</c:v>
                  </c:pt>
                  <c:pt idx="4">
                    <c:v>4.82</c:v>
                  </c:pt>
                  <c:pt idx="5">
                    <c:v>9.66</c:v>
                  </c:pt>
                  <c:pt idx="6">
                    <c:v>5.36</c:v>
                  </c:pt>
                  <c:pt idx="7">
                    <c:v>4.81</c:v>
                  </c:pt>
                  <c:pt idx="8">
                    <c:v>2.33</c:v>
                  </c:pt>
                  <c:pt idx="9">
                    <c:v>2.4</c:v>
                  </c:pt>
                </c:numCache>
              </c:numRef>
            </c:minus>
            <c:spPr>
              <a:noFill/>
              <a:ln w="9525" cap="flat" cmpd="sng" algn="ctr">
                <a:solidFill>
                  <a:schemeClr val="tx1">
                    <a:lumMod val="65000"/>
                    <a:lumOff val="35000"/>
                  </a:schemeClr>
                </a:solidFill>
                <a:round/>
              </a:ln>
              <a:effectLst/>
            </c:spPr>
          </c:errBars>
          <c:cat>
            <c:strRef>
              <c:f>'GASTRIC JUICE FREE ACID'!$N$14:$N$23</c:f>
              <c:strCache>
                <c:ptCount val="10"/>
                <c:pt idx="0">
                  <c:v>10ml/kg distilled water</c:v>
                </c:pt>
                <c:pt idx="1">
                  <c:v>20mg/kg omeprazole</c:v>
                </c:pt>
                <c:pt idx="2">
                  <c:v>250mg/kg crude extract </c:v>
                </c:pt>
                <c:pt idx="3">
                  <c:v>500mg/kg crude extract </c:v>
                </c:pt>
                <c:pt idx="4">
                  <c:v>250mg/kg N-hexane</c:v>
                </c:pt>
                <c:pt idx="5">
                  <c:v>500mg/kg N-hexane</c:v>
                </c:pt>
                <c:pt idx="6">
                  <c:v>250mg/kg ethyl  acetate</c:v>
                </c:pt>
                <c:pt idx="7">
                  <c:v>500mg/kg ethyl acetate</c:v>
                </c:pt>
                <c:pt idx="8">
                  <c:v>250mg/kg butanol</c:v>
                </c:pt>
                <c:pt idx="9">
                  <c:v>500mg/kg butanol</c:v>
                </c:pt>
              </c:strCache>
            </c:strRef>
          </c:cat>
          <c:val>
            <c:numRef>
              <c:f>'GASTRIC JUICE FREE ACID'!$O$14:$O$23</c:f>
              <c:numCache>
                <c:formatCode>General</c:formatCode>
                <c:ptCount val="10"/>
                <c:pt idx="0">
                  <c:v>81.3</c:v>
                </c:pt>
                <c:pt idx="1">
                  <c:v>43.6</c:v>
                </c:pt>
                <c:pt idx="2">
                  <c:v>49.3</c:v>
                </c:pt>
                <c:pt idx="3">
                  <c:v>44</c:v>
                </c:pt>
                <c:pt idx="4">
                  <c:v>64.5</c:v>
                </c:pt>
                <c:pt idx="5">
                  <c:v>65.2</c:v>
                </c:pt>
                <c:pt idx="6">
                  <c:v>59.6</c:v>
                </c:pt>
                <c:pt idx="7">
                  <c:v>50.6</c:v>
                </c:pt>
                <c:pt idx="8">
                  <c:v>35.7</c:v>
                </c:pt>
                <c:pt idx="9">
                  <c:v>48.7</c:v>
                </c:pt>
              </c:numCache>
            </c:numRef>
          </c:val>
        </c:ser>
        <c:dLbls>
          <c:showLegendKey val="0"/>
          <c:showVal val="0"/>
          <c:showCatName val="0"/>
          <c:showSerName val="0"/>
          <c:showPercent val="0"/>
          <c:showBubbleSize val="0"/>
        </c:dLbls>
        <c:gapWidth val="219"/>
        <c:overlap val="-27"/>
        <c:axId val="274887888"/>
        <c:axId val="274888280"/>
      </c:barChart>
      <c:catAx>
        <c:axId val="27488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8280"/>
        <c:crosses val="autoZero"/>
        <c:auto val="1"/>
        <c:lblAlgn val="ctr"/>
        <c:lblOffset val="100"/>
        <c:noMultiLvlLbl val="0"/>
      </c:catAx>
      <c:valAx>
        <c:axId val="274888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7888"/>
        <c:crosses val="autoZero"/>
        <c:crossBetween val="between"/>
      </c:valAx>
      <c:spPr>
        <a:noFill/>
        <a:ln>
          <a:noFill/>
        </a:ln>
        <a:effectLst/>
      </c:spPr>
    </c:plotArea>
    <c:plotVisOnly val="1"/>
    <c:dispBlanksAs val="gap"/>
    <c:showDLblsOverMax val="0"/>
    <c:extLst>
      <c:ext uri="{0b15fc19-7d7d-44ad-8c2d-2c3a37ce22c3}">
        <chartProps xmlns="https://web.wps.cn/et/2018/main" chartId="{d4a97cb7-ac3a-4319-8539-8b540306b474}"/>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'GASTRIC JUICE TOTAL ACID'!$L$18</c:f>
              <c:strCache>
                <c:ptCount val="1"/>
                <c:pt idx="0">
                  <c:v>Gastric juice total acid</c:v>
                </c:pt>
              </c:strCache>
            </c:strRef>
          </c:tx>
          <c:spPr>
            <a:solidFill>
              <a:schemeClr val="accent1"/>
            </a:solidFill>
            <a:ln>
              <a:noFill/>
            </a:ln>
            <a:effectLst/>
          </c:spPr>
          <c:invertIfNegative val="0"/>
          <c:dLbls>
            <c:delete val="1"/>
          </c:dLbls>
          <c:errBars>
            <c:errBarType val="both"/>
            <c:errValType val="cust"/>
            <c:noEndCap val="0"/>
            <c:plus>
              <c:numRef>
                <c:f>'GASTRIC JUICE TOTAL ACID'!$M$19:$M$28</c:f>
                <c:numCache>
                  <c:formatCode>General</c:formatCode>
                  <c:ptCount val="10"/>
                  <c:pt idx="0">
                    <c:v>6.69</c:v>
                  </c:pt>
                  <c:pt idx="1">
                    <c:v>7.89</c:v>
                  </c:pt>
                  <c:pt idx="2">
                    <c:v>9.87</c:v>
                  </c:pt>
                  <c:pt idx="3">
                    <c:v>8.74</c:v>
                  </c:pt>
                  <c:pt idx="4">
                    <c:v>10.82</c:v>
                  </c:pt>
                  <c:pt idx="5">
                    <c:v>8.21</c:v>
                  </c:pt>
                  <c:pt idx="6">
                    <c:v>7.82</c:v>
                  </c:pt>
                  <c:pt idx="7">
                    <c:v>8.13</c:v>
                  </c:pt>
                  <c:pt idx="8">
                    <c:v>8.95</c:v>
                  </c:pt>
                  <c:pt idx="9">
                    <c:v>3.48</c:v>
                  </c:pt>
                </c:numCache>
              </c:numRef>
            </c:plus>
            <c:minus>
              <c:numRef>
                <c:f>'GASTRIC JUICE TOTAL ACID'!$M$19:$M$28</c:f>
                <c:numCache>
                  <c:formatCode>General</c:formatCode>
                  <c:ptCount val="10"/>
                  <c:pt idx="0">
                    <c:v>6.69</c:v>
                  </c:pt>
                  <c:pt idx="1">
                    <c:v>7.89</c:v>
                  </c:pt>
                  <c:pt idx="2">
                    <c:v>9.87</c:v>
                  </c:pt>
                  <c:pt idx="3">
                    <c:v>8.74</c:v>
                  </c:pt>
                  <c:pt idx="4">
                    <c:v>10.82</c:v>
                  </c:pt>
                  <c:pt idx="5">
                    <c:v>8.21</c:v>
                  </c:pt>
                  <c:pt idx="6">
                    <c:v>7.82</c:v>
                  </c:pt>
                  <c:pt idx="7">
                    <c:v>8.13</c:v>
                  </c:pt>
                  <c:pt idx="8">
                    <c:v>8.95</c:v>
                  </c:pt>
                  <c:pt idx="9">
                    <c:v>3.48</c:v>
                  </c:pt>
                </c:numCache>
              </c:numRef>
            </c:minus>
            <c:spPr>
              <a:noFill/>
              <a:ln w="9525" cap="flat" cmpd="sng" algn="ctr">
                <a:solidFill>
                  <a:schemeClr val="tx1">
                    <a:lumMod val="65000"/>
                    <a:lumOff val="35000"/>
                  </a:schemeClr>
                </a:solidFill>
                <a:round/>
              </a:ln>
              <a:effectLst/>
            </c:spPr>
          </c:errBars>
          <c:cat>
            <c:strRef>
              <c:f>'GASTRIC JUICE TOTAL ACID'!$K$19:$K$28</c:f>
              <c:strCache>
                <c:ptCount val="10"/>
                <c:pt idx="0">
                  <c:v>10ml/kg distilled water</c:v>
                </c:pt>
                <c:pt idx="1">
                  <c:v>20mg/kg omeprazole</c:v>
                </c:pt>
                <c:pt idx="2">
                  <c:v>250mg/kg crude extract</c:v>
                </c:pt>
                <c:pt idx="3">
                  <c:v>500mg/kg crude extract</c:v>
                </c:pt>
                <c:pt idx="4">
                  <c:v>250mg/kg N-hexane</c:v>
                </c:pt>
                <c:pt idx="5">
                  <c:v>500mg/kg N-hexane</c:v>
                </c:pt>
                <c:pt idx="6">
                  <c:v>250mg/kg ethyl acetate</c:v>
                </c:pt>
                <c:pt idx="7">
                  <c:v>500mg/kg ethyl acetate</c:v>
                </c:pt>
                <c:pt idx="8">
                  <c:v>250mg/kg butanol</c:v>
                </c:pt>
                <c:pt idx="9">
                  <c:v>500mg/kg butanol</c:v>
                </c:pt>
              </c:strCache>
            </c:strRef>
          </c:cat>
          <c:val>
            <c:numRef>
              <c:f>'GASTRIC JUICE TOTAL ACID'!$L$19:$L$28</c:f>
              <c:numCache>
                <c:formatCode>General</c:formatCode>
                <c:ptCount val="10"/>
                <c:pt idx="0">
                  <c:v>286</c:v>
                </c:pt>
                <c:pt idx="1">
                  <c:v>197</c:v>
                </c:pt>
                <c:pt idx="2">
                  <c:v>180</c:v>
                </c:pt>
                <c:pt idx="3">
                  <c:v>169</c:v>
                </c:pt>
                <c:pt idx="4">
                  <c:v>236</c:v>
                </c:pt>
                <c:pt idx="5">
                  <c:v>227</c:v>
                </c:pt>
                <c:pt idx="6">
                  <c:v>221</c:v>
                </c:pt>
                <c:pt idx="7">
                  <c:v>210</c:v>
                </c:pt>
                <c:pt idx="8">
                  <c:v>163</c:v>
                </c:pt>
                <c:pt idx="9">
                  <c:v>185</c:v>
                </c:pt>
              </c:numCache>
            </c:numRef>
          </c:val>
        </c:ser>
        <c:dLbls>
          <c:showLegendKey val="0"/>
          <c:showVal val="0"/>
          <c:showCatName val="0"/>
          <c:showSerName val="0"/>
          <c:showPercent val="0"/>
          <c:showBubbleSize val="0"/>
        </c:dLbls>
        <c:gapWidth val="219"/>
        <c:overlap val="-27"/>
        <c:axId val="274880832"/>
        <c:axId val="274882400"/>
      </c:barChart>
      <c:catAx>
        <c:axId val="27488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2400"/>
        <c:crosses val="autoZero"/>
        <c:auto val="1"/>
        <c:lblAlgn val="ctr"/>
        <c:lblOffset val="100"/>
        <c:noMultiLvlLbl val="0"/>
      </c:catAx>
      <c:valAx>
        <c:axId val="274882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880832"/>
        <c:crosses val="autoZero"/>
        <c:crossBetween val="between"/>
      </c:valAx>
      <c:spPr>
        <a:noFill/>
        <a:ln>
          <a:noFill/>
        </a:ln>
        <a:effectLst/>
      </c:spPr>
    </c:plotArea>
    <c:plotVisOnly val="1"/>
    <c:dispBlanksAs val="gap"/>
    <c:showDLblsOverMax val="0"/>
    <c:extLst>
      <c:ext uri="{0b15fc19-7d7d-44ad-8c2d-2c3a37ce22c3}">
        <chartProps xmlns="https://web.wps.cn/et/2018/main" chartId="{3c7a2fa0-a0bb-4b1a-be2f-5ec73cf975fe}"/>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E3D7B-CBDD-438F-BA39-239E44F4619D}">
  <ds:schemaRefs/>
</ds:datastoreItem>
</file>

<file path=docProps/app.xml><?xml version="1.0" encoding="utf-8"?>
<Properties xmlns="http://schemas.openxmlformats.org/officeDocument/2006/extended-properties" xmlns:vt="http://schemas.openxmlformats.org/officeDocument/2006/docPropsVTypes">
  <Template>GSCBPS Article template</Template>
  <Pages>11</Pages>
  <Words>86</Words>
  <Characters>491</Characters>
  <Lines>4</Lines>
  <Paragraphs>1</Paragraphs>
  <TotalTime>10</TotalTime>
  <ScaleCrop>false</ScaleCrop>
  <LinksUpToDate>false</LinksUpToDate>
  <CharactersWithSpaces>576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2025-07-19T11:03:00Z</dcterms:created>
  <dc:creator>sapna</dc:creator>
  <cp:lastModifiedBy>ONWUZULIGBO P</cp:lastModifiedBy>
  <cp:lastPrinted>2021-01-02T18:02:00Z</cp:lastPrinted>
  <dcterms:modified xsi:type="dcterms:W3CDTF">2025-09-27T21:37:06Z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489FC4D150D24F73A657841F74C9903F_13</vt:lpwstr>
  </property>
</Properties>
</file>